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85AF" w14:textId="71223843" w:rsidR="001D78A4" w:rsidRDefault="008153B6" w:rsidP="00610A68">
      <w:r>
        <w:rPr>
          <w:noProof/>
        </w:rPr>
        <w:drawing>
          <wp:anchor distT="0" distB="0" distL="114300" distR="114300" simplePos="0" relativeHeight="251658249" behindDoc="1" locked="0" layoutInCell="1" allowOverlap="1" wp14:anchorId="7C388E44" wp14:editId="050B87F7">
            <wp:simplePos x="0" y="0"/>
            <wp:positionH relativeFrom="column">
              <wp:posOffset>-81280</wp:posOffset>
            </wp:positionH>
            <wp:positionV relativeFrom="paragraph">
              <wp:posOffset>7063913</wp:posOffset>
            </wp:positionV>
            <wp:extent cx="3413532" cy="1452245"/>
            <wp:effectExtent l="0" t="0" r="0" b="0"/>
            <wp:wrapNone/>
            <wp:docPr id="22" name="Picture 22" descr="Lionheart Consulting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ionheart Consulting Australi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13532" cy="1452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78A4" w:rsidRPr="00717BAB">
        <w:rPr>
          <w:noProof/>
          <w:color w:val="377375" w:themeColor="accent1"/>
          <w:sz w:val="20"/>
          <w:szCs w:val="20"/>
        </w:rPr>
        <mc:AlternateContent>
          <mc:Choice Requires="wps">
            <w:drawing>
              <wp:anchor distT="0" distB="0" distL="114300" distR="114300" simplePos="0" relativeHeight="251658244" behindDoc="1" locked="0" layoutInCell="1" allowOverlap="1" wp14:anchorId="7FFD7924" wp14:editId="0E6ADC9B">
                <wp:simplePos x="0" y="0"/>
                <wp:positionH relativeFrom="page">
                  <wp:align>left</wp:align>
                </wp:positionH>
                <wp:positionV relativeFrom="paragraph">
                  <wp:posOffset>-1248410</wp:posOffset>
                </wp:positionV>
                <wp:extent cx="7582619" cy="10896600"/>
                <wp:effectExtent l="0" t="0" r="18415" b="19050"/>
                <wp:wrapNone/>
                <wp:docPr id="13" name="Rectangle 13"/>
                <wp:cNvGraphicFramePr/>
                <a:graphic xmlns:a="http://schemas.openxmlformats.org/drawingml/2006/main">
                  <a:graphicData uri="http://schemas.microsoft.com/office/word/2010/wordprocessingShape">
                    <wps:wsp>
                      <wps:cNvSpPr/>
                      <wps:spPr>
                        <a:xfrm>
                          <a:off x="0" y="0"/>
                          <a:ext cx="7582619" cy="10896600"/>
                        </a:xfrm>
                        <a:prstGeom prst="rect">
                          <a:avLst/>
                        </a:prstGeom>
                        <a:solidFill>
                          <a:srgbClr val="201547"/>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8426C6" w14:textId="02ABF527" w:rsidR="004006B8" w:rsidRDefault="004006B8" w:rsidP="004006B8">
                            <w:pPr>
                              <w:jc w:val="center"/>
                            </w:pPr>
                            <w:r>
                              <w:t> </w:t>
                            </w:r>
                          </w:p>
                          <w:p w14:paraId="22F7DED8" w14:textId="1A2CD50F" w:rsidR="004006B8" w:rsidRDefault="004006B8" w:rsidP="004006B8">
                            <w:pPr>
                              <w:jc w:val="center"/>
                            </w:pPr>
                          </w:p>
                          <w:p w14:paraId="44F64E58" w14:textId="6EBA098E" w:rsidR="004006B8" w:rsidRDefault="004006B8" w:rsidP="004006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D7924" id="Rectangle 13" o:spid="_x0000_s1026" style="position:absolute;margin-left:0;margin-top:-98.3pt;width:597.05pt;height:858pt;z-index:-2516582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" fillcolor="#201547" strokecolor="#1b383a [1604]" strokeweight="1pt">
                <v:textbox>
                  <w:txbxContent>
                    <w:p w14:paraId="6C8426C6" w14:textId="02ABF527" w:rsidR="004006B8" w:rsidRDefault="004006B8" w:rsidP="004006B8">
                      <w:pPr>
                        <w:jc w:val="center"/>
                      </w:pPr>
                      <w:r>
                        <w:t> </w:t>
                      </w:r>
                    </w:p>
                    <w:p w14:paraId="22F7DED8" w14:textId="1A2CD50F" w:rsidR="004006B8" w:rsidRDefault="004006B8" w:rsidP="004006B8">
                      <w:pPr>
                        <w:jc w:val="center"/>
                      </w:pPr>
                    </w:p>
                    <w:p w14:paraId="44F64E58" w14:textId="6EBA098E" w:rsidR="004006B8" w:rsidRDefault="004006B8" w:rsidP="004006B8">
                      <w:pPr>
                        <w:jc w:val="center"/>
                      </w:pPr>
                    </w:p>
                  </w:txbxContent>
                </v:textbox>
                <w10:wrap anchorx="page"/>
              </v:rect>
            </w:pict>
          </mc:Fallback>
        </mc:AlternateContent>
      </w:r>
    </w:p>
    <w:sdt>
      <w:sdtPr>
        <w:id w:val="-934437003"/>
        <w:docPartObj>
          <w:docPartGallery w:val="Cover Pages"/>
          <w:docPartUnique/>
        </w:docPartObj>
      </w:sdtPr>
      <w:sdtEndPr/>
      <w:sdtContent>
        <w:p w14:paraId="21270283" w14:textId="154F41FC" w:rsidR="004B1972" w:rsidRDefault="004B1972" w:rsidP="00624921"/>
        <w:p w14:paraId="00B5E2C1" w14:textId="03BDE843" w:rsidR="004A0ED0" w:rsidRDefault="00C25818" w:rsidP="00610A68">
          <w:pPr>
            <w:jc w:val="center"/>
          </w:pPr>
          <w:r>
            <w:rPr>
              <w:noProof/>
            </w:rPr>
            <w:drawing>
              <wp:anchor distT="0" distB="0" distL="114300" distR="114300" simplePos="0" relativeHeight="251658248" behindDoc="0" locked="0" layoutInCell="1" allowOverlap="1" wp14:anchorId="65FE8912" wp14:editId="00B27DE3">
                <wp:simplePos x="0" y="0"/>
                <wp:positionH relativeFrom="column">
                  <wp:posOffset>648335</wp:posOffset>
                </wp:positionH>
                <wp:positionV relativeFrom="paragraph">
                  <wp:posOffset>6303645</wp:posOffset>
                </wp:positionV>
                <wp:extent cx="2385060" cy="2385060"/>
                <wp:effectExtent l="0" t="0" r="0" b="0"/>
                <wp:wrapNone/>
                <wp:docPr id="42" name="Picture 42" descr="Simon Katterl Consul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Simon Katterl Consulting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5060" cy="2385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4921">
            <w:rPr>
              <w:noProof/>
            </w:rPr>
            <mc:AlternateContent>
              <mc:Choice Requires="wps">
                <w:drawing>
                  <wp:anchor distT="45720" distB="45720" distL="114300" distR="114300" simplePos="0" relativeHeight="251658245" behindDoc="0" locked="0" layoutInCell="1" allowOverlap="1" wp14:anchorId="29BA4161" wp14:editId="349DEBC5">
                    <wp:simplePos x="0" y="0"/>
                    <wp:positionH relativeFrom="margin">
                      <wp:align>left</wp:align>
                    </wp:positionH>
                    <wp:positionV relativeFrom="paragraph">
                      <wp:posOffset>304165</wp:posOffset>
                    </wp:positionV>
                    <wp:extent cx="5499735" cy="7073265"/>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735" cy="7073660"/>
                            </a:xfrm>
                            <a:prstGeom prst="rect">
                              <a:avLst/>
                            </a:prstGeom>
                            <a:noFill/>
                            <a:ln w="9525">
                              <a:noFill/>
                              <a:miter lim="800000"/>
                              <a:headEnd/>
                              <a:tailEnd/>
                            </a:ln>
                          </wps:spPr>
                          <wps:txbx>
                            <w:txbxContent>
                              <w:p w14:paraId="57E9E974" w14:textId="53C48514" w:rsidR="003B725D" w:rsidRPr="000552C6" w:rsidRDefault="00B75641" w:rsidP="00E072CB">
                                <w:pPr>
                                  <w:pStyle w:val="Footer"/>
                                  <w:spacing w:line="192" w:lineRule="auto"/>
                                  <w:rPr>
                                    <w:b/>
                                    <w:bCs/>
                                    <w:color w:val="FFFFFF" w:themeColor="background1"/>
                                    <w:sz w:val="96"/>
                                    <w:szCs w:val="72"/>
                                  </w:rPr>
                                </w:pPr>
                                <w:r>
                                  <w:rPr>
                                    <w:b/>
                                    <w:bCs/>
                                    <w:color w:val="FFFFFF" w:themeColor="background1"/>
                                    <w:sz w:val="96"/>
                                    <w:szCs w:val="72"/>
                                  </w:rPr>
                                  <w:t>Putting human rights at the heart</w:t>
                                </w:r>
                                <w:r w:rsidR="00624ADA">
                                  <w:rPr>
                                    <w:b/>
                                    <w:bCs/>
                                    <w:color w:val="FFFFFF" w:themeColor="background1"/>
                                    <w:sz w:val="96"/>
                                    <w:szCs w:val="72"/>
                                  </w:rPr>
                                  <w:t xml:space="preserve"> </w:t>
                                </w:r>
                              </w:p>
                              <w:p w14:paraId="3B183EDB" w14:textId="05782ACF" w:rsidR="00B75641" w:rsidRPr="000415ED" w:rsidRDefault="00E072CB" w:rsidP="00B75641">
                                <w:pPr>
                                  <w:spacing w:before="60" w:after="0" w:line="192" w:lineRule="auto"/>
                                  <w:rPr>
                                    <w:rFonts w:cstheme="minorHAnsi"/>
                                    <w:i/>
                                    <w:iCs/>
                                    <w:color w:val="FFFFFF" w:themeColor="background1"/>
                                    <w:sz w:val="36"/>
                                    <w:szCs w:val="36"/>
                                  </w:rPr>
                                </w:pPr>
                                <w:r>
                                  <w:rPr>
                                    <w:rFonts w:cstheme="minorHAnsi"/>
                                    <w:b/>
                                    <w:bCs/>
                                    <w:color w:val="FFFFFF" w:themeColor="background1"/>
                                    <w:sz w:val="44"/>
                                    <w:szCs w:val="44"/>
                                  </w:rPr>
                                  <w:br/>
                                </w:r>
                                <w:r w:rsidR="000415ED">
                                  <w:rPr>
                                    <w:rFonts w:cstheme="minorHAnsi"/>
                                    <w:i/>
                                    <w:iCs/>
                                    <w:color w:val="FFFFFF" w:themeColor="background1"/>
                                    <w:sz w:val="44"/>
                                    <w:szCs w:val="44"/>
                                  </w:rPr>
                                  <w:t>Applying human rights</w:t>
                                </w:r>
                              </w:p>
                              <w:p w14:paraId="68A11303" w14:textId="659F1A18" w:rsidR="00624921" w:rsidRDefault="00DF2FCF" w:rsidP="003B725D">
                                <w:pPr>
                                  <w:spacing w:before="60" w:after="0" w:line="192" w:lineRule="auto"/>
                                  <w:rPr>
                                    <w:rFonts w:cstheme="minorHAnsi"/>
                                    <w:color w:val="FFFFFF" w:themeColor="background1"/>
                                    <w:sz w:val="32"/>
                                    <w:szCs w:val="32"/>
                                  </w:rPr>
                                </w:pPr>
                                <w:r w:rsidRPr="00504F53">
                                  <w:rPr>
                                    <w:rFonts w:cstheme="minorHAnsi"/>
                                    <w:color w:val="FFFFFF" w:themeColor="background1"/>
                                    <w:sz w:val="32"/>
                                    <w:szCs w:val="32"/>
                                  </w:rPr>
                                  <w:br/>
                                </w:r>
                                <w:r w:rsidR="00E072CB">
                                  <w:rPr>
                                    <w:rFonts w:cstheme="minorHAnsi"/>
                                    <w:color w:val="FFFF00"/>
                                    <w:sz w:val="32"/>
                                    <w:szCs w:val="32"/>
                                  </w:rPr>
                                  <w:br/>
                                </w:r>
                                <w:r>
                                  <w:rPr>
                                    <w:rFonts w:cstheme="minorHAnsi"/>
                                    <w:color w:val="FFFF00"/>
                                    <w:sz w:val="32"/>
                                    <w:szCs w:val="32"/>
                                  </w:rPr>
                                  <w:br/>
                                </w:r>
                                <w:r w:rsidR="000415ED">
                                  <w:rPr>
                                    <w:rFonts w:cstheme="minorHAnsi"/>
                                    <w:color w:val="FFFFFF" w:themeColor="background1"/>
                                    <w:sz w:val="32"/>
                                    <w:szCs w:val="32"/>
                                  </w:rPr>
                                  <w:t>Prepared for the Mental Health a</w:t>
                                </w:r>
                                <w:r w:rsidR="002A1AA4">
                                  <w:rPr>
                                    <w:rFonts w:cstheme="minorHAnsi"/>
                                    <w:color w:val="FFFFFF" w:themeColor="background1"/>
                                    <w:sz w:val="32"/>
                                    <w:szCs w:val="32"/>
                                  </w:rPr>
                                  <w:t>n</w:t>
                                </w:r>
                                <w:r w:rsidR="000415ED">
                                  <w:rPr>
                                    <w:rFonts w:cstheme="minorHAnsi"/>
                                    <w:color w:val="FFFFFF" w:themeColor="background1"/>
                                    <w:sz w:val="32"/>
                                    <w:szCs w:val="32"/>
                                  </w:rPr>
                                  <w:t xml:space="preserve">d Wellbeing Division, </w:t>
                                </w:r>
                                <w:r w:rsidR="00364622">
                                  <w:rPr>
                                    <w:rFonts w:cstheme="minorHAnsi"/>
                                    <w:color w:val="FFFFFF" w:themeColor="background1"/>
                                    <w:sz w:val="32"/>
                                    <w:szCs w:val="32"/>
                                  </w:rPr>
                                  <w:t>August 2023</w:t>
                                </w:r>
                              </w:p>
                              <w:p w14:paraId="25B5A846" w14:textId="77777777" w:rsidR="000A0102" w:rsidRDefault="000A0102" w:rsidP="003B725D">
                                <w:pPr>
                                  <w:spacing w:before="60" w:after="0" w:line="192" w:lineRule="auto"/>
                                  <w:rPr>
                                    <w:rFonts w:cstheme="minorHAnsi"/>
                                    <w:color w:val="FFFFFF" w:themeColor="background1"/>
                                    <w:sz w:val="32"/>
                                    <w:szCs w:val="32"/>
                                  </w:rPr>
                                </w:pPr>
                              </w:p>
                              <w:p w14:paraId="63CD713A" w14:textId="04321F3A" w:rsidR="000A0102" w:rsidRPr="00504F53" w:rsidRDefault="000A0102" w:rsidP="005D36C7">
                                <w:pPr>
                                  <w:spacing w:before="60" w:after="0" w:line="192" w:lineRule="auto"/>
                                  <w:rPr>
                                    <w:rFonts w:cstheme="minorHAnsi"/>
                                    <w:color w:val="FFFFFF" w:themeColor="background1"/>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A4161" id="_x0000_t202" coordsize="21600,21600" o:spt="202" path="m,l,21600r21600,l21600,xe">
                    <v:stroke joinstyle="miter"/>
                    <v:path gradientshapeok="t" o:connecttype="rect"/>
                  </v:shapetype>
                  <v:shape id="Text Box 16" o:spid="_x0000_s1027" type="#_x0000_t202" style="position:absolute;left:0;text-align:left;margin-left:0;margin-top:23.95pt;width:433.05pt;height:556.9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" filled="f" stroked="f">
                    <v:textbox>
                      <w:txbxContent>
                        <w:p w14:paraId="57E9E974" w14:textId="53C48514" w:rsidR="003B725D" w:rsidRPr="000552C6" w:rsidRDefault="00B75641" w:rsidP="00E072CB">
                          <w:pPr>
                            <w:pStyle w:val="Footer"/>
                            <w:spacing w:line="192" w:lineRule="auto"/>
                            <w:rPr>
                              <w:b/>
                              <w:bCs/>
                              <w:color w:val="FFFFFF" w:themeColor="background1"/>
                              <w:sz w:val="96"/>
                              <w:szCs w:val="72"/>
                            </w:rPr>
                          </w:pPr>
                          <w:r>
                            <w:rPr>
                              <w:b/>
                              <w:bCs/>
                              <w:color w:val="FFFFFF" w:themeColor="background1"/>
                              <w:sz w:val="96"/>
                              <w:szCs w:val="72"/>
                            </w:rPr>
                            <w:t>Putting human rights at the heart</w:t>
                          </w:r>
                          <w:r w:rsidR="00624ADA">
                            <w:rPr>
                              <w:b/>
                              <w:bCs/>
                              <w:color w:val="FFFFFF" w:themeColor="background1"/>
                              <w:sz w:val="96"/>
                              <w:szCs w:val="72"/>
                            </w:rPr>
                            <w:t xml:space="preserve"> </w:t>
                          </w:r>
                        </w:p>
                        <w:p w14:paraId="3B183EDB" w14:textId="05782ACF" w:rsidR="00B75641" w:rsidRPr="000415ED" w:rsidRDefault="00E072CB" w:rsidP="00B75641">
                          <w:pPr>
                            <w:spacing w:before="60" w:after="0" w:line="192" w:lineRule="auto"/>
                            <w:rPr>
                              <w:rFonts w:cstheme="minorHAnsi"/>
                              <w:i/>
                              <w:iCs/>
                              <w:color w:val="FFFFFF" w:themeColor="background1"/>
                              <w:sz w:val="36"/>
                              <w:szCs w:val="36"/>
                            </w:rPr>
                          </w:pPr>
                          <w:r>
                            <w:rPr>
                              <w:rFonts w:cstheme="minorHAnsi"/>
                              <w:b/>
                              <w:bCs/>
                              <w:color w:val="FFFFFF" w:themeColor="background1"/>
                              <w:sz w:val="44"/>
                              <w:szCs w:val="44"/>
                            </w:rPr>
                            <w:br/>
                          </w:r>
                          <w:r w:rsidR="000415ED">
                            <w:rPr>
                              <w:rFonts w:cstheme="minorHAnsi"/>
                              <w:i/>
                              <w:iCs/>
                              <w:color w:val="FFFFFF" w:themeColor="background1"/>
                              <w:sz w:val="44"/>
                              <w:szCs w:val="44"/>
                            </w:rPr>
                            <w:t>Applying human rights</w:t>
                          </w:r>
                        </w:p>
                        <w:p w14:paraId="68A11303" w14:textId="659F1A18" w:rsidR="00624921" w:rsidRDefault="00DF2FCF" w:rsidP="003B725D">
                          <w:pPr>
                            <w:spacing w:before="60" w:after="0" w:line="192" w:lineRule="auto"/>
                            <w:rPr>
                              <w:rFonts w:cstheme="minorHAnsi"/>
                              <w:color w:val="FFFFFF" w:themeColor="background1"/>
                              <w:sz w:val="32"/>
                              <w:szCs w:val="32"/>
                            </w:rPr>
                          </w:pPr>
                          <w:r w:rsidRPr="00504F53">
                            <w:rPr>
                              <w:rFonts w:cstheme="minorHAnsi"/>
                              <w:color w:val="FFFFFF" w:themeColor="background1"/>
                              <w:sz w:val="32"/>
                              <w:szCs w:val="32"/>
                            </w:rPr>
                            <w:br/>
                          </w:r>
                          <w:r w:rsidR="00E072CB">
                            <w:rPr>
                              <w:rFonts w:cstheme="minorHAnsi"/>
                              <w:color w:val="FFFF00"/>
                              <w:sz w:val="32"/>
                              <w:szCs w:val="32"/>
                            </w:rPr>
                            <w:br/>
                          </w:r>
                          <w:r>
                            <w:rPr>
                              <w:rFonts w:cstheme="minorHAnsi"/>
                              <w:color w:val="FFFF00"/>
                              <w:sz w:val="32"/>
                              <w:szCs w:val="32"/>
                            </w:rPr>
                            <w:br/>
                          </w:r>
                          <w:r w:rsidR="000415ED">
                            <w:rPr>
                              <w:rFonts w:cstheme="minorHAnsi"/>
                              <w:color w:val="FFFFFF" w:themeColor="background1"/>
                              <w:sz w:val="32"/>
                              <w:szCs w:val="32"/>
                            </w:rPr>
                            <w:t>Prepared for the Mental Health a</w:t>
                          </w:r>
                          <w:r w:rsidR="002A1AA4">
                            <w:rPr>
                              <w:rFonts w:cstheme="minorHAnsi"/>
                              <w:color w:val="FFFFFF" w:themeColor="background1"/>
                              <w:sz w:val="32"/>
                              <w:szCs w:val="32"/>
                            </w:rPr>
                            <w:t>n</w:t>
                          </w:r>
                          <w:r w:rsidR="000415ED">
                            <w:rPr>
                              <w:rFonts w:cstheme="minorHAnsi"/>
                              <w:color w:val="FFFFFF" w:themeColor="background1"/>
                              <w:sz w:val="32"/>
                              <w:szCs w:val="32"/>
                            </w:rPr>
                            <w:t xml:space="preserve">d Wellbeing Division, </w:t>
                          </w:r>
                          <w:r w:rsidR="00364622">
                            <w:rPr>
                              <w:rFonts w:cstheme="minorHAnsi"/>
                              <w:color w:val="FFFFFF" w:themeColor="background1"/>
                              <w:sz w:val="32"/>
                              <w:szCs w:val="32"/>
                            </w:rPr>
                            <w:t>August 2023</w:t>
                          </w:r>
                        </w:p>
                        <w:p w14:paraId="25B5A846" w14:textId="77777777" w:rsidR="000A0102" w:rsidRDefault="000A0102" w:rsidP="003B725D">
                          <w:pPr>
                            <w:spacing w:before="60" w:after="0" w:line="192" w:lineRule="auto"/>
                            <w:rPr>
                              <w:rFonts w:cstheme="minorHAnsi"/>
                              <w:color w:val="FFFFFF" w:themeColor="background1"/>
                              <w:sz w:val="32"/>
                              <w:szCs w:val="32"/>
                            </w:rPr>
                          </w:pPr>
                        </w:p>
                        <w:p w14:paraId="63CD713A" w14:textId="04321F3A" w:rsidR="000A0102" w:rsidRPr="00504F53" w:rsidRDefault="000A0102" w:rsidP="005D36C7">
                          <w:pPr>
                            <w:spacing w:before="60" w:after="0" w:line="192" w:lineRule="auto"/>
                            <w:rPr>
                              <w:rFonts w:cstheme="minorHAnsi"/>
                              <w:color w:val="FFFFFF" w:themeColor="background1"/>
                              <w:sz w:val="52"/>
                              <w:szCs w:val="52"/>
                            </w:rPr>
                          </w:pPr>
                        </w:p>
                      </w:txbxContent>
                    </v:textbox>
                    <w10:wrap type="square" anchorx="margin"/>
                  </v:shape>
                </w:pict>
              </mc:Fallback>
            </mc:AlternateContent>
          </w:r>
          <w:r w:rsidR="004B1972">
            <w:br w:type="page"/>
          </w:r>
        </w:p>
      </w:sdtContent>
    </w:sdt>
    <w:p w14:paraId="4FAB034F" w14:textId="77777777" w:rsidR="00FC21F2" w:rsidRDefault="00FC21F2" w:rsidP="00E003BD">
      <w:pPr>
        <w:sectPr w:rsidR="00FC21F2" w:rsidSect="00271E88">
          <w:headerReference w:type="default" r:id="rId13"/>
          <w:footerReference w:type="default" r:id="rId14"/>
          <w:headerReference w:type="first" r:id="rId15"/>
          <w:footerReference w:type="first" r:id="rId16"/>
          <w:type w:val="continuous"/>
          <w:pgSz w:w="11906" w:h="16838"/>
          <w:pgMar w:top="1701" w:right="1418" w:bottom="1440" w:left="1418" w:header="709" w:footer="709" w:gutter="0"/>
          <w:pgNumType w:start="0"/>
          <w:cols w:num="2" w:space="284"/>
          <w:titlePg/>
          <w:docGrid w:linePitch="360"/>
        </w:sectPr>
      </w:pPr>
    </w:p>
    <w:p w14:paraId="5092577A" w14:textId="6D5C29D6" w:rsidR="002F04AB" w:rsidRPr="002F04AB" w:rsidRDefault="00FC21F2" w:rsidP="00E003BD">
      <w:pPr>
        <w:rPr>
          <w:b/>
          <w:bCs/>
        </w:rPr>
      </w:pPr>
      <w:r w:rsidRPr="002F04AB">
        <w:rPr>
          <w:b/>
          <w:bCs/>
        </w:rPr>
        <w:lastRenderedPageBreak/>
        <w:t xml:space="preserve">We acknowledge Victoria’s First Peoples and their rich culture. </w:t>
      </w:r>
    </w:p>
    <w:p w14:paraId="31A34373" w14:textId="3DABBD01" w:rsidR="006313D5" w:rsidRDefault="006313D5" w:rsidP="00E003BD">
      <w:r>
        <w:t xml:space="preserve">As recognised in the preamble of the </w:t>
      </w:r>
      <w:r>
        <w:rPr>
          <w:i/>
          <w:iCs/>
        </w:rPr>
        <w:t xml:space="preserve">Charter of Human Rights and Responsibilities Act 2006 </w:t>
      </w:r>
      <w:r>
        <w:t>(Vic) ‘human rights have special importance for the Aboriginal people of Victoria, as descendants of Australia’s first people, with their diverse spiritual, social, cultural and economic relationship with their traditional lands and waters’.</w:t>
      </w:r>
    </w:p>
    <w:p w14:paraId="67EBFC8B" w14:textId="104514BB" w:rsidR="00DA759A" w:rsidRDefault="0053766F" w:rsidP="0053766F">
      <w:r>
        <w:t xml:space="preserve">We respectfully acknowledge </w:t>
      </w:r>
      <w:r w:rsidR="00614CB6">
        <w:t>all</w:t>
      </w:r>
      <w:r>
        <w:t xml:space="preserve"> </w:t>
      </w:r>
      <w:r w:rsidR="00614CB6">
        <w:t>Aboriginal</w:t>
      </w:r>
      <w:r>
        <w:t xml:space="preserve"> people in Victoria and pay respects to their elders past and present. </w:t>
      </w:r>
    </w:p>
    <w:p w14:paraId="6F38FC96" w14:textId="517124BE" w:rsidR="0053766F" w:rsidRDefault="6D69D0D5" w:rsidP="6D69D0D5">
      <w:pPr>
        <w:rPr>
          <w:b/>
          <w:bCs/>
        </w:rPr>
        <w:sectPr w:rsidR="0053766F" w:rsidSect="0053766F">
          <w:type w:val="continuous"/>
          <w:pgSz w:w="11906" w:h="16838"/>
          <w:pgMar w:top="1701" w:right="1418" w:bottom="1440" w:left="1418" w:header="709" w:footer="709" w:gutter="0"/>
          <w:pgNumType w:start="0"/>
          <w:cols w:space="284"/>
          <w:titlePg/>
          <w:docGrid w:linePitch="360"/>
        </w:sectPr>
      </w:pPr>
      <w:r>
        <w:t>We recognise the lived experiences of colonisation and discrimination, and the strength, leadership and resilience of Aboriginal communities. We also recognise the importance of Aboriginal and Torres Strait Islander people’s distinct and culturally grounded approaches to social and emotional wellbeing.</w:t>
      </w:r>
    </w:p>
    <w:p w14:paraId="2F0A5D11" w14:textId="76C9BDEB" w:rsidR="00B21F29" w:rsidRPr="002236F3" w:rsidRDefault="00124F05" w:rsidP="007E5997">
      <w:pPr>
        <w:pStyle w:val="Heading2-report"/>
      </w:pPr>
      <w:r w:rsidRPr="002236F3">
        <w:lastRenderedPageBreak/>
        <w:t>Disclaimer</w:t>
      </w:r>
    </w:p>
    <w:p w14:paraId="6DFDCBEB" w14:textId="41346962" w:rsidR="00C94538" w:rsidRDefault="00B21F29" w:rsidP="00B21F29">
      <w:r w:rsidRPr="002236F3">
        <w:t>T</w:t>
      </w:r>
      <w:r w:rsidR="00D809E9" w:rsidRPr="002236F3">
        <w:t xml:space="preserve">his guide </w:t>
      </w:r>
      <w:r w:rsidR="00C1309A" w:rsidRPr="002236F3">
        <w:t xml:space="preserve">was developed for the Mental Health and Wellbeing Division of the </w:t>
      </w:r>
      <w:r w:rsidR="00F57005" w:rsidRPr="002236F3">
        <w:t xml:space="preserve">Victorian </w:t>
      </w:r>
      <w:r w:rsidR="00C1309A" w:rsidRPr="002236F3">
        <w:t xml:space="preserve">Department of Health. It is provided for </w:t>
      </w:r>
      <w:r w:rsidR="008D4562" w:rsidRPr="002236F3">
        <w:t>information purposes to build awareness of human rights</w:t>
      </w:r>
      <w:r w:rsidR="00492EF6" w:rsidRPr="002236F3">
        <w:t>. It should not be taken for</w:t>
      </w:r>
      <w:r w:rsidR="008D4562" w:rsidRPr="002236F3">
        <w:t>, or relied on, as</w:t>
      </w:r>
      <w:r w:rsidR="00492EF6" w:rsidRPr="002236F3">
        <w:t xml:space="preserve"> legal advice.</w:t>
      </w:r>
    </w:p>
    <w:p w14:paraId="4CBAF6EA" w14:textId="7C268DAA" w:rsidR="00011EB9" w:rsidRDefault="00B35BD1" w:rsidP="00425CF9">
      <w:pPr>
        <w:pStyle w:val="Heading2-report"/>
        <w:spacing w:before="240"/>
      </w:pPr>
      <w:r>
        <w:t>Transition to new legislation</w:t>
      </w:r>
    </w:p>
    <w:p w14:paraId="6E1D97A0" w14:textId="6BA46DA8" w:rsidR="00011EB9" w:rsidRDefault="6D69D0D5" w:rsidP="00011EB9">
      <w:r>
        <w:t xml:space="preserve">This guide was written during the transition to new mental health and wellbeing legislation in Victoria. To ensure the guide maintains currency, we have generally referred to the </w:t>
      </w:r>
      <w:r w:rsidRPr="6D69D0D5">
        <w:rPr>
          <w:i/>
          <w:iCs/>
        </w:rPr>
        <w:t xml:space="preserve">Mental Health and Wellbeing Act 2022 </w:t>
      </w:r>
      <w:r>
        <w:t>(Vic) which is due to come into force in September 2023.</w:t>
      </w:r>
    </w:p>
    <w:p w14:paraId="004EBE2E" w14:textId="73D4A1CE" w:rsidR="00011EB9" w:rsidRPr="00904411" w:rsidRDefault="00011EB9" w:rsidP="00011EB9">
      <w:pPr>
        <w:rPr>
          <w:i/>
          <w:iCs/>
        </w:rPr>
      </w:pPr>
      <w:r>
        <w:t xml:space="preserve">Where examples refer to historic situations, references </w:t>
      </w:r>
      <w:r w:rsidR="00B35BD1">
        <w:t>are made to the legislation in force at the relevant time.</w:t>
      </w:r>
    </w:p>
    <w:p w14:paraId="331402DA" w14:textId="52D81414" w:rsidR="002236F3" w:rsidRDefault="002236F3" w:rsidP="002236F3">
      <w:pPr>
        <w:pStyle w:val="Heading2-report"/>
      </w:pPr>
      <w:r>
        <w:t>A note on terminology</w:t>
      </w:r>
    </w:p>
    <w:p w14:paraId="2C7C286F" w14:textId="2BE1BD63" w:rsidR="002206DF" w:rsidRDefault="003871BE" w:rsidP="00E0254B">
      <w:r>
        <w:t>Language and how we use it can be powerful</w:t>
      </w:r>
      <w:r w:rsidR="00F470D8">
        <w:t xml:space="preserve">. </w:t>
      </w:r>
      <w:r w:rsidR="002206DF">
        <w:t>The use of language is also developing</w:t>
      </w:r>
      <w:r w:rsidR="004C661B">
        <w:t>.</w:t>
      </w:r>
    </w:p>
    <w:p w14:paraId="0FF9D7AF" w14:textId="1C86FFC3" w:rsidR="00FA10FB" w:rsidRDefault="6D69D0D5" w:rsidP="0029424F">
      <w:r>
        <w:t>In this guide, we generally use the term ‘lived experience’ to refer to people with lived experience of mental health issues and psychological distress; and, where relevant, to the distinct lived experience of families, carers and supporters.</w:t>
      </w:r>
    </w:p>
    <w:p w14:paraId="00C3D068" w14:textId="692D6CCB" w:rsidR="009F70FF" w:rsidRDefault="00C358B4" w:rsidP="00310C34">
      <w:r>
        <w:t xml:space="preserve">We </w:t>
      </w:r>
      <w:r w:rsidR="008F38FB">
        <w:t xml:space="preserve">use the term ‘consumers’ or ‘mental health consumers’ at times for clarity when talking about </w:t>
      </w:r>
      <w:r w:rsidR="00B078C0">
        <w:t>people who have been users of</w:t>
      </w:r>
      <w:r w:rsidR="00352DF4">
        <w:t>,</w:t>
      </w:r>
      <w:r w:rsidR="00B078C0">
        <w:t xml:space="preserve"> and subject to</w:t>
      </w:r>
      <w:r w:rsidR="00352DF4">
        <w:t>,</w:t>
      </w:r>
      <w:r w:rsidR="00B078C0">
        <w:t xml:space="preserve"> the mental health and wellbeing system.</w:t>
      </w:r>
      <w:r w:rsidR="00842E7C">
        <w:t xml:space="preserve"> </w:t>
      </w:r>
      <w:r w:rsidR="00E94007">
        <w:t>We acknowledge that</w:t>
      </w:r>
      <w:r w:rsidR="00842E7C">
        <w:t xml:space="preserve"> people may</w:t>
      </w:r>
      <w:r w:rsidR="00E94007">
        <w:t xml:space="preserve"> also or alternatively</w:t>
      </w:r>
      <w:r w:rsidR="00842E7C">
        <w:t xml:space="preserve"> </w:t>
      </w:r>
      <w:r w:rsidR="00842E7C">
        <w:t xml:space="preserve">identify as </w:t>
      </w:r>
      <w:r w:rsidR="00AB7FD1">
        <w:t xml:space="preserve">being ‘patients’, ‘service users’, </w:t>
      </w:r>
      <w:r w:rsidR="00E94007">
        <w:t>‘mad’, or ‘survivors of psychiatry’.</w:t>
      </w:r>
    </w:p>
    <w:p w14:paraId="2A263CC9" w14:textId="771BCE3C" w:rsidR="00F556AE" w:rsidRDefault="00F556AE" w:rsidP="00310C34">
      <w:r>
        <w:t xml:space="preserve">Where terms such a ‘disability’ and ‘mental impairment’ are used in legislation, we have used these terms </w:t>
      </w:r>
      <w:r w:rsidR="00FB3C51">
        <w:t xml:space="preserve">in this guide </w:t>
      </w:r>
      <w:r>
        <w:t xml:space="preserve">to ensure accuracy. However, </w:t>
      </w:r>
      <w:r w:rsidR="00AE1619">
        <w:t>we note that some of the</w:t>
      </w:r>
      <w:r w:rsidR="00393AC3">
        <w:t>se</w:t>
      </w:r>
      <w:r w:rsidR="00AE1619">
        <w:t xml:space="preserve"> legal terms are no longer best practice and may not be how people would choose to describe themselves.</w:t>
      </w:r>
    </w:p>
    <w:p w14:paraId="20C04C3A" w14:textId="381887BF" w:rsidR="00442412" w:rsidRDefault="00442412" w:rsidP="00310C34">
      <w:r>
        <w:t xml:space="preserve">‘Aboriginal’ is used </w:t>
      </w:r>
      <w:r w:rsidR="00D77C66">
        <w:t>to refer to both Aboriginal and Torres Strait Islander people in accordance with current Victorian Government protocols</w:t>
      </w:r>
      <w:r w:rsidR="00853CFD">
        <w:t>. ‘Aboriginal’ is also used in relevant legislation discussed in this guide</w:t>
      </w:r>
      <w:r w:rsidR="00D77C66">
        <w:t xml:space="preserve">. We note that ‘First Nations’ </w:t>
      </w:r>
      <w:r w:rsidR="007B088D">
        <w:t>is</w:t>
      </w:r>
      <w:r w:rsidR="00D77C66">
        <w:t xml:space="preserve"> used by some people to describe themselves.</w:t>
      </w:r>
    </w:p>
    <w:p w14:paraId="787EC7C1" w14:textId="77777777" w:rsidR="00EB136A" w:rsidRDefault="00EB136A" w:rsidP="00EB136A">
      <w:pPr>
        <w:pStyle w:val="Heading2-report"/>
      </w:pPr>
      <w:r>
        <w:t>Copyright</w:t>
      </w:r>
    </w:p>
    <w:p w14:paraId="32C2372B" w14:textId="77777777" w:rsidR="00EB136A" w:rsidRDefault="00EB136A" w:rsidP="00EB136A">
      <w:r w:rsidRPr="00D06F13">
        <w:drawing>
          <wp:inline distT="0" distB="0" distL="0" distR="0" wp14:anchorId="5AA061AA" wp14:editId="55CFB04A">
            <wp:extent cx="1118870" cy="395605"/>
            <wp:effectExtent l="0" t="0" r="5080" b="4445"/>
            <wp:docPr id="752621184" name="Picture 4" descr="A sign with a person and dollar symbol&#10;&#10;Description automatically generated">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621184" name="Picture 4" descr="A sign with a person and dollar symbol&#10;&#10;Description automatically generated">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8870" cy="395605"/>
                    </a:xfrm>
                    <a:prstGeom prst="rect">
                      <a:avLst/>
                    </a:prstGeom>
                    <a:noFill/>
                    <a:ln>
                      <a:noFill/>
                    </a:ln>
                  </pic:spPr>
                </pic:pic>
              </a:graphicData>
            </a:graphic>
          </wp:inline>
        </w:drawing>
      </w:r>
    </w:p>
    <w:p w14:paraId="5FCB306E" w14:textId="77777777" w:rsidR="00EB136A" w:rsidRPr="006E3DB4" w:rsidRDefault="00EB136A" w:rsidP="00EB136A">
      <w:pPr>
        <w:rPr>
          <w:sz w:val="22"/>
          <w:szCs w:val="20"/>
        </w:rPr>
      </w:pPr>
      <w:hyperlink r:id="rId19" w:tgtFrame="_blank" w:history="1">
        <w:r w:rsidRPr="006E3DB4">
          <w:rPr>
            <w:rStyle w:val="Hyperlink"/>
            <w:sz w:val="22"/>
            <w:szCs w:val="20"/>
          </w:rPr>
          <w:t>CC BY-NC-SA</w:t>
        </w:r>
      </w:hyperlink>
      <w:r w:rsidRPr="006E3DB4">
        <w:rPr>
          <w:sz w:val="22"/>
          <w:szCs w:val="20"/>
        </w:rPr>
        <w:t>: This license allows reusers to distribute, remix, adapt, and build upon the material in any medium or format for noncommercial purposes only, and only so long as attribution is given to the creator. If you remix, adapt, or build upon the material, you must license the modified material under identical terms. </w:t>
      </w:r>
    </w:p>
    <w:p w14:paraId="477F44CA" w14:textId="110DD490" w:rsidR="00EB136A" w:rsidRDefault="00EB136A" w:rsidP="00EB136A">
      <w:r w:rsidRPr="006E3DB4">
        <w:rPr>
          <w:sz w:val="22"/>
          <w:szCs w:val="20"/>
        </w:rPr>
        <w:t>CC BY-NC-SA includes the following elements:</w:t>
      </w:r>
      <w:r w:rsidRPr="006E3DB4">
        <w:rPr>
          <w:sz w:val="22"/>
          <w:szCs w:val="20"/>
        </w:rPr>
        <w:br/>
        <w:t>BY </w:t>
      </w:r>
      <w:r w:rsidRPr="006E3DB4">
        <w:rPr>
          <w:sz w:val="22"/>
          <w:szCs w:val="20"/>
        </w:rPr>
        <w:drawing>
          <wp:inline distT="0" distB="0" distL="0" distR="0" wp14:anchorId="1BAAF88D" wp14:editId="090E01C2">
            <wp:extent cx="286385" cy="286385"/>
            <wp:effectExtent l="0" t="0" r="0" b="0"/>
            <wp:docPr id="216491118" name="Picture 3" descr="A black and white circle with a person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491118" name="Picture 3" descr="A black and white circle with a person in i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Pr="006E3DB4">
        <w:rPr>
          <w:sz w:val="22"/>
          <w:szCs w:val="20"/>
        </w:rPr>
        <w:t> – Credit must be given to the creator</w:t>
      </w:r>
      <w:r w:rsidRPr="006E3DB4">
        <w:rPr>
          <w:sz w:val="22"/>
          <w:szCs w:val="20"/>
        </w:rPr>
        <w:br/>
        <w:t>NC </w:t>
      </w:r>
      <w:r w:rsidRPr="006E3DB4">
        <w:rPr>
          <w:sz w:val="22"/>
          <w:szCs w:val="20"/>
        </w:rPr>
        <w:drawing>
          <wp:inline distT="0" distB="0" distL="0" distR="0" wp14:anchorId="79661C5B" wp14:editId="5D5AC7B1">
            <wp:extent cx="286385" cy="286385"/>
            <wp:effectExtent l="0" t="0" r="0" b="0"/>
            <wp:docPr id="533538994" name="Picture 2" descr="A white circle with a black dolla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538994" name="Picture 2" descr="A white circle with a black dollar sign&#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Pr="006E3DB4">
        <w:rPr>
          <w:sz w:val="22"/>
          <w:szCs w:val="20"/>
        </w:rPr>
        <w:t> – Only noncommercial uses of the work are permitted</w:t>
      </w:r>
      <w:r w:rsidRPr="006E3DB4">
        <w:rPr>
          <w:sz w:val="22"/>
          <w:szCs w:val="20"/>
        </w:rPr>
        <w:br/>
        <w:t>SA </w:t>
      </w:r>
      <w:r w:rsidRPr="006E3DB4">
        <w:rPr>
          <w:sz w:val="22"/>
          <w:szCs w:val="20"/>
        </w:rPr>
        <w:drawing>
          <wp:inline distT="0" distB="0" distL="0" distR="0" wp14:anchorId="7EABBC38" wp14:editId="1D60B844">
            <wp:extent cx="300355" cy="300355"/>
            <wp:effectExtent l="0" t="0" r="4445" b="4445"/>
            <wp:docPr id="912483725" name="Picture 1" descr="A white circle with a black arrow pointing to the le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483725" name="Picture 1" descr="A white circle with a black arrow pointing to the left&#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r w:rsidRPr="006E3DB4">
        <w:rPr>
          <w:sz w:val="22"/>
          <w:szCs w:val="20"/>
        </w:rPr>
        <w:t> – Adaptations must be shared under the same terms</w:t>
      </w:r>
    </w:p>
    <w:p w14:paraId="39A6BEFA" w14:textId="77777777" w:rsidR="00602499" w:rsidRDefault="00602499">
      <w:pPr>
        <w:rPr>
          <w:b/>
          <w:bCs/>
          <w:color w:val="940054"/>
          <w:sz w:val="48"/>
          <w:szCs w:val="48"/>
        </w:rPr>
        <w:sectPr w:rsidR="00602499" w:rsidSect="00602499">
          <w:headerReference w:type="first" r:id="rId23"/>
          <w:pgSz w:w="11906" w:h="16838"/>
          <w:pgMar w:top="1440" w:right="1418" w:bottom="1440" w:left="1418" w:header="708" w:footer="708" w:gutter="0"/>
          <w:cols w:num="2" w:space="708"/>
          <w:titlePg/>
          <w:docGrid w:linePitch="360"/>
        </w:sectPr>
      </w:pPr>
    </w:p>
    <w:p w14:paraId="0217F9A2" w14:textId="77777777" w:rsidR="00805346" w:rsidRDefault="00805346">
      <w:pPr>
        <w:rPr>
          <w:b/>
          <w:bCs/>
          <w:color w:val="940054"/>
          <w:sz w:val="48"/>
          <w:szCs w:val="48"/>
        </w:rPr>
      </w:pPr>
      <w:r>
        <w:rPr>
          <w:b/>
          <w:bCs/>
          <w:color w:val="940054"/>
          <w:sz w:val="48"/>
          <w:szCs w:val="48"/>
        </w:rPr>
        <w:br w:type="page"/>
      </w:r>
    </w:p>
    <w:p w14:paraId="130D1AEC" w14:textId="29E3E002" w:rsidR="00406F25" w:rsidRDefault="006E345F" w:rsidP="00A81ED5">
      <w:pPr>
        <w:pStyle w:val="Heading1-report"/>
      </w:pPr>
      <w:r>
        <w:lastRenderedPageBreak/>
        <w:t xml:space="preserve">Human </w:t>
      </w:r>
      <w:r w:rsidR="00DA2C1C">
        <w:t>r</w:t>
      </w:r>
      <w:r>
        <w:t xml:space="preserve">ights </w:t>
      </w:r>
      <w:r w:rsidR="00DA2C1C">
        <w:t>e</w:t>
      </w:r>
      <w:r>
        <w:t>xplained</w:t>
      </w:r>
    </w:p>
    <w:p w14:paraId="3DC659CF" w14:textId="704DBE4A" w:rsidR="001F487B" w:rsidRDefault="00383AA9" w:rsidP="00F86911">
      <w:r>
        <w:t xml:space="preserve">This appendix sets out the 20 </w:t>
      </w:r>
      <w:r w:rsidR="00387E64">
        <w:t xml:space="preserve">human rights </w:t>
      </w:r>
      <w:r w:rsidR="0013024B">
        <w:t>protected in Victorian law</w:t>
      </w:r>
      <w:r w:rsidR="00291EB0">
        <w:t xml:space="preserve"> </w:t>
      </w:r>
      <w:r w:rsidR="0013024B">
        <w:t>under</w:t>
      </w:r>
      <w:r w:rsidR="00291EB0">
        <w:t xml:space="preserve"> the Charter. It provides a brief explanation of each right and gives some context </w:t>
      </w:r>
      <w:r w:rsidR="0013024B">
        <w:t>for how these rights may be relevant to work in the mental health and wellbeing system.</w:t>
      </w:r>
      <w:r w:rsidR="000D702A">
        <w:t xml:space="preserve"> </w:t>
      </w:r>
    </w:p>
    <w:p w14:paraId="58D1C1A8" w14:textId="3A23B1C8" w:rsidR="0013024B" w:rsidRPr="00F86911" w:rsidRDefault="000D702A" w:rsidP="00F86911">
      <w:r>
        <w:t xml:space="preserve">Examples and issues identified are illustrative to help you to understand and work with the Charter rights. </w:t>
      </w:r>
      <w:r w:rsidR="001F487B">
        <w:t xml:space="preserve">This guide does not attempt to provide an exhaustive assessment of all circumstances in which human rights </w:t>
      </w:r>
      <w:r w:rsidR="00175AFA">
        <w:t xml:space="preserve">issues can arise. </w:t>
      </w:r>
      <w:r>
        <w:t xml:space="preserve">You should do your own assessment </w:t>
      </w:r>
      <w:r w:rsidR="00175AFA">
        <w:t xml:space="preserve">in the circumstances before you, </w:t>
      </w:r>
      <w:r>
        <w:t xml:space="preserve">and seek legal advice on the </w:t>
      </w:r>
      <w:r w:rsidR="00377167">
        <w:t>scope and meaning of rights if required.</w:t>
      </w:r>
    </w:p>
    <w:p w14:paraId="0F90BF19" w14:textId="35FE58F8" w:rsidR="009B4881" w:rsidRDefault="00FE1265" w:rsidP="00F86911">
      <w:r>
        <w:t xml:space="preserve">At some places in this </w:t>
      </w:r>
      <w:r w:rsidR="0041581B">
        <w:t>guide,</w:t>
      </w:r>
      <w:r>
        <w:t xml:space="preserve"> we have referred to international law.</w:t>
      </w:r>
      <w:r w:rsidR="005B5F1F">
        <w:t xml:space="preserve"> </w:t>
      </w:r>
      <w:r w:rsidR="00290747">
        <w:t>Understanding the international law on which Charter rights are based</w:t>
      </w:r>
      <w:r w:rsidR="003B5B3B">
        <w:t xml:space="preserve"> can help to illustrate the scope</w:t>
      </w:r>
      <w:r w:rsidR="00160A36">
        <w:t xml:space="preserve"> and meaning</w:t>
      </w:r>
      <w:r w:rsidR="003B5B3B">
        <w:t xml:space="preserve"> of human rights</w:t>
      </w:r>
      <w:r w:rsidR="00D309F8">
        <w:t>, particularly where Charter rights have not been considered in detail by Victorian courts</w:t>
      </w:r>
      <w:r w:rsidR="003B5B3B">
        <w:t>.</w:t>
      </w:r>
      <w:r w:rsidR="00290747">
        <w:t xml:space="preserve"> International law is not binding in Victorian courts, but </w:t>
      </w:r>
      <w:r w:rsidR="00EF17DC">
        <w:t>may be considered in interpreting the Charter.</w:t>
      </w:r>
      <w:r w:rsidR="00EF17DC" w:rsidRPr="0091262D">
        <w:rPr>
          <w:rStyle w:val="FootnoteReference"/>
        </w:rPr>
        <w:footnoteReference w:id="2"/>
      </w:r>
    </w:p>
    <w:p w14:paraId="3BEB763E" w14:textId="45F67C57" w:rsidR="00C27102" w:rsidRDefault="00A10454" w:rsidP="00F86911">
      <w:r>
        <w:t>In our experience, t</w:t>
      </w:r>
      <w:r w:rsidR="00C27102">
        <w:t>h</w:t>
      </w:r>
      <w:r w:rsidR="00E133E0">
        <w:t xml:space="preserve">e </w:t>
      </w:r>
      <w:r w:rsidR="00C6146F">
        <w:t>seven</w:t>
      </w:r>
      <w:r w:rsidR="00C27102">
        <w:t xml:space="preserve"> human rights that are most commonly engaged in the mental health and wellbeing system are:</w:t>
      </w:r>
    </w:p>
    <w:p w14:paraId="50645876" w14:textId="1BDDF8B2" w:rsidR="00C27102" w:rsidRDefault="00C603D9" w:rsidP="00E225B4">
      <w:pPr>
        <w:pStyle w:val="ListParagraph"/>
        <w:numPr>
          <w:ilvl w:val="0"/>
          <w:numId w:val="50"/>
        </w:numPr>
      </w:pPr>
      <w:r>
        <w:t>recognition and equality before the law</w:t>
      </w:r>
      <w:r w:rsidR="00C27102">
        <w:t xml:space="preserve"> (section 8)</w:t>
      </w:r>
    </w:p>
    <w:p w14:paraId="54FE3CAF" w14:textId="01ECDFC4" w:rsidR="00C27102" w:rsidRDefault="00C603D9" w:rsidP="00E225B4">
      <w:pPr>
        <w:pStyle w:val="ListParagraph"/>
        <w:numPr>
          <w:ilvl w:val="0"/>
          <w:numId w:val="50"/>
        </w:numPr>
      </w:pPr>
      <w:r>
        <w:t>protection from torture and cruel, inhuman or degrading treatment (section 10)</w:t>
      </w:r>
    </w:p>
    <w:p w14:paraId="5ECAA909" w14:textId="05BF77C5" w:rsidR="00C603D9" w:rsidRDefault="008D445F" w:rsidP="00E225B4">
      <w:pPr>
        <w:pStyle w:val="ListParagraph"/>
        <w:numPr>
          <w:ilvl w:val="0"/>
          <w:numId w:val="50"/>
        </w:numPr>
      </w:pPr>
      <w:r>
        <w:t>privacy and reputation</w:t>
      </w:r>
      <w:r w:rsidR="00C603D9">
        <w:t xml:space="preserve"> (section 1</w:t>
      </w:r>
      <w:r>
        <w:t>3</w:t>
      </w:r>
      <w:r w:rsidR="00C603D9">
        <w:t>)</w:t>
      </w:r>
    </w:p>
    <w:p w14:paraId="2C0458C7" w14:textId="642B73FF" w:rsidR="00C603D9" w:rsidRDefault="00C6146F" w:rsidP="00E225B4">
      <w:pPr>
        <w:pStyle w:val="ListParagraph"/>
        <w:numPr>
          <w:ilvl w:val="0"/>
          <w:numId w:val="50"/>
        </w:numPr>
      </w:pPr>
      <w:r>
        <w:t>protection of families and children (section 17)</w:t>
      </w:r>
    </w:p>
    <w:p w14:paraId="016EE80E" w14:textId="73E02246" w:rsidR="00C6146F" w:rsidRDefault="00C6146F" w:rsidP="00E225B4">
      <w:pPr>
        <w:pStyle w:val="ListParagraph"/>
        <w:numPr>
          <w:ilvl w:val="0"/>
          <w:numId w:val="50"/>
        </w:numPr>
      </w:pPr>
      <w:r>
        <w:t>cultural rights (section 19)</w:t>
      </w:r>
    </w:p>
    <w:p w14:paraId="2C3A2D24" w14:textId="760A44A0" w:rsidR="00C6146F" w:rsidRDefault="008D445F" w:rsidP="00E225B4">
      <w:pPr>
        <w:pStyle w:val="ListParagraph"/>
        <w:numPr>
          <w:ilvl w:val="0"/>
          <w:numId w:val="50"/>
        </w:numPr>
      </w:pPr>
      <w:r>
        <w:t>right to liberty and security of person (section 21), and</w:t>
      </w:r>
    </w:p>
    <w:p w14:paraId="17E91604" w14:textId="5F4AD6EA" w:rsidR="008D445F" w:rsidRDefault="008D445F" w:rsidP="00E225B4">
      <w:pPr>
        <w:pStyle w:val="ListParagraph"/>
        <w:numPr>
          <w:ilvl w:val="0"/>
          <w:numId w:val="50"/>
        </w:numPr>
      </w:pPr>
      <w:r>
        <w:t>humane treatment when deprived of liberty (section 22).</w:t>
      </w:r>
    </w:p>
    <w:p w14:paraId="52642A66" w14:textId="044AC0A1" w:rsidR="00C51FFB" w:rsidRDefault="00C51FFB" w:rsidP="00C51FFB">
      <w:r>
        <w:t>You may prioritise learning about these, while noting other rights will likely emerge in your work from time-to-time.</w:t>
      </w:r>
      <w:r>
        <w:rPr>
          <w:rStyle w:val="FootnoteReference"/>
        </w:rPr>
        <w:footnoteReference w:id="3"/>
      </w:r>
    </w:p>
    <w:p w14:paraId="5AB5BE00" w14:textId="77777777" w:rsidR="00C51FFB" w:rsidRPr="00F86911" w:rsidRDefault="00C51FFB" w:rsidP="00C51FFB"/>
    <w:p w14:paraId="13D3DB70" w14:textId="77777777" w:rsidR="00EC01EA" w:rsidRDefault="00EC01EA">
      <w:pPr>
        <w:rPr>
          <w:b/>
          <w:bCs/>
          <w:color w:val="201547"/>
          <w:sz w:val="36"/>
          <w:szCs w:val="36"/>
        </w:rPr>
      </w:pPr>
      <w:r>
        <w:br w:type="page"/>
      </w:r>
    </w:p>
    <w:p w14:paraId="274C3721" w14:textId="79A1B956" w:rsidR="00091271" w:rsidRDefault="00EB1115" w:rsidP="00CE7756">
      <w:pPr>
        <w:pStyle w:val="Heading1-report"/>
        <w:ind w:left="1440"/>
      </w:pPr>
      <w:r w:rsidRPr="00631747">
        <w:rPr>
          <w:rStyle w:val="Strong"/>
          <w:b/>
          <w:bCs/>
          <w:noProof/>
        </w:rPr>
        <w:lastRenderedPageBreak/>
        <mc:AlternateContent>
          <mc:Choice Requires="wps">
            <w:drawing>
              <wp:anchor distT="45720" distB="45720" distL="114300" distR="114300" simplePos="0" relativeHeight="251658246" behindDoc="0" locked="0" layoutInCell="1" allowOverlap="1" wp14:anchorId="7CB35944" wp14:editId="296AA6A8">
                <wp:simplePos x="0" y="0"/>
                <wp:positionH relativeFrom="margin">
                  <wp:align>left</wp:align>
                </wp:positionH>
                <wp:positionV relativeFrom="paragraph">
                  <wp:posOffset>968938</wp:posOffset>
                </wp:positionV>
                <wp:extent cx="5695950" cy="221932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219325"/>
                        </a:xfrm>
                        <a:prstGeom prst="rect">
                          <a:avLst/>
                        </a:prstGeom>
                        <a:solidFill>
                          <a:srgbClr val="201547"/>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0D9C89B" w14:textId="77777777" w:rsidR="00091271" w:rsidRPr="00432E8A" w:rsidRDefault="00091271" w:rsidP="00091271">
                            <w:pPr>
                              <w:rPr>
                                <w:b/>
                                <w:bCs/>
                                <w:sz w:val="28"/>
                                <w:szCs w:val="24"/>
                              </w:rPr>
                            </w:pPr>
                            <w:r>
                              <w:rPr>
                                <w:b/>
                                <w:bCs/>
                                <w:sz w:val="28"/>
                                <w:szCs w:val="24"/>
                              </w:rPr>
                              <w:t>Section 8. Recognition and equality before the law</w:t>
                            </w:r>
                          </w:p>
                          <w:p w14:paraId="7DF1BB05" w14:textId="77777777" w:rsidR="00091271" w:rsidRDefault="00091271" w:rsidP="00091271">
                            <w:r>
                              <w:t xml:space="preserve">(1) Every person has the right to recognition as a person before the law. </w:t>
                            </w:r>
                          </w:p>
                          <w:p w14:paraId="3DA0B16B" w14:textId="77777777" w:rsidR="00091271" w:rsidRDefault="00091271" w:rsidP="00091271">
                            <w:r>
                              <w:t xml:space="preserve">(2) Every person has the right to enjoy their human rights without discrimination. </w:t>
                            </w:r>
                          </w:p>
                          <w:p w14:paraId="58C3206C" w14:textId="77777777" w:rsidR="00091271" w:rsidRDefault="00091271" w:rsidP="00091271">
                            <w:r>
                              <w:t>(3) Every person is equal before the law and is entitled to the equal protection of the law without discrimination and has the right to equal and effective protection against discrimination.</w:t>
                            </w:r>
                          </w:p>
                          <w:p w14:paraId="50BFC52C" w14:textId="77777777" w:rsidR="00091271" w:rsidRDefault="00091271" w:rsidP="00091271">
                            <w:r>
                              <w:t>(4) Measures taken for the purpose of assisting or advancing persons or groups of persons disadvantaged because of discrimination do not constitute discrimination.</w:t>
                            </w:r>
                          </w:p>
                          <w:p w14:paraId="67FBFF13" w14:textId="77777777" w:rsidR="00091271" w:rsidRDefault="00091271" w:rsidP="0009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35944" id="Text Box 1" o:spid="_x0000_s1028" type="#_x0000_t202" style="position:absolute;left:0;text-align:left;margin-left:0;margin-top:76.3pt;width:448.5pt;height:174.7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" fillcolor="#201547" strokecolor="#1b383a [1604]" strokeweight="1pt">
                <v:textbox>
                  <w:txbxContent>
                    <w:p w14:paraId="40D9C89B" w14:textId="77777777" w:rsidR="00091271" w:rsidRPr="00432E8A" w:rsidRDefault="00091271" w:rsidP="00091271">
                      <w:pPr>
                        <w:rPr>
                          <w:b/>
                          <w:bCs/>
                          <w:sz w:val="28"/>
                          <w:szCs w:val="24"/>
                        </w:rPr>
                      </w:pPr>
                      <w:r>
                        <w:rPr>
                          <w:b/>
                          <w:bCs/>
                          <w:sz w:val="28"/>
                          <w:szCs w:val="24"/>
                        </w:rPr>
                        <w:t>Section 8. Recognition and equality before the law</w:t>
                      </w:r>
                    </w:p>
                    <w:p w14:paraId="7DF1BB05" w14:textId="77777777" w:rsidR="00091271" w:rsidRDefault="00091271" w:rsidP="00091271">
                      <w:r>
                        <w:t xml:space="preserve">(1) Every person has the right to recognition as a person before the law. </w:t>
                      </w:r>
                    </w:p>
                    <w:p w14:paraId="3DA0B16B" w14:textId="77777777" w:rsidR="00091271" w:rsidRDefault="00091271" w:rsidP="00091271">
                      <w:r>
                        <w:t xml:space="preserve">(2) Every person has the right to enjoy their human rights without discrimination. </w:t>
                      </w:r>
                    </w:p>
                    <w:p w14:paraId="58C3206C" w14:textId="77777777" w:rsidR="00091271" w:rsidRDefault="00091271" w:rsidP="00091271">
                      <w:r>
                        <w:t>(3) Every person is equal before the law and is entitled to the equal protection of the law without discrimination and has the right to equal and effective protection against discrimination.</w:t>
                      </w:r>
                    </w:p>
                    <w:p w14:paraId="50BFC52C" w14:textId="77777777" w:rsidR="00091271" w:rsidRDefault="00091271" w:rsidP="00091271">
                      <w:r>
                        <w:t>(4) Measures taken for the purpose of assisting or advancing persons or groups of persons disadvantaged because of discrimination do not constitute discrimination.</w:t>
                      </w:r>
                    </w:p>
                    <w:p w14:paraId="67FBFF13" w14:textId="77777777" w:rsidR="00091271" w:rsidRDefault="00091271" w:rsidP="00091271"/>
                  </w:txbxContent>
                </v:textbox>
                <w10:wrap type="square" anchorx="margin"/>
              </v:shape>
            </w:pict>
          </mc:Fallback>
        </mc:AlternateContent>
      </w:r>
      <w:r w:rsidR="003A0E22">
        <w:rPr>
          <w:noProof/>
        </w:rPr>
        <w:drawing>
          <wp:anchor distT="0" distB="0" distL="114300" distR="114300" simplePos="0" relativeHeight="251658251" behindDoc="0" locked="0" layoutInCell="1" allowOverlap="1" wp14:anchorId="1F8F1FEB" wp14:editId="4CB8F14A">
            <wp:simplePos x="0" y="0"/>
            <wp:positionH relativeFrom="margin">
              <wp:align>left</wp:align>
            </wp:positionH>
            <wp:positionV relativeFrom="paragraph">
              <wp:posOffset>635</wp:posOffset>
            </wp:positionV>
            <wp:extent cx="641445" cy="641445"/>
            <wp:effectExtent l="0" t="0" r="6350" b="6350"/>
            <wp:wrapNone/>
            <wp:docPr id="15" name="Picture 15" descr="Equality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Equality sig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4430" cy="644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1271">
        <w:t>R</w:t>
      </w:r>
      <w:r w:rsidR="00091271" w:rsidRPr="009F30E4">
        <w:t>ecognit</w:t>
      </w:r>
      <w:r w:rsidR="00091271">
        <w:t>ion and equality before the law (section 8)</w:t>
      </w:r>
    </w:p>
    <w:p w14:paraId="31EBBF8F" w14:textId="7F2B2F7C" w:rsidR="00091271" w:rsidRDefault="00ED51DA" w:rsidP="006619C1">
      <w:pPr>
        <w:pStyle w:val="BoldedRightsIntro"/>
      </w:pPr>
      <w:r w:rsidRPr="00EB1115">
        <w:t xml:space="preserve">Once people are ‘tagged’ as having mental health issues they may be treated differently and, in </w:t>
      </w:r>
      <w:r w:rsidR="00B845B3" w:rsidRPr="00EB1115">
        <w:t>many</w:t>
      </w:r>
      <w:r w:rsidRPr="00EB1115">
        <w:t xml:space="preserve"> cases, unfairly in our </w:t>
      </w:r>
      <w:r w:rsidR="00D751DD" w:rsidRPr="00EB1115">
        <w:t>society</w:t>
      </w:r>
      <w:r w:rsidRPr="00EB1115">
        <w:t xml:space="preserve">. </w:t>
      </w:r>
      <w:r w:rsidR="00317F26" w:rsidRPr="00EB1115">
        <w:t>For many people, experiences in the mental health and wellbeing system engage the right to recognition and equality before the law</w:t>
      </w:r>
      <w:r w:rsidR="001E300D" w:rsidRPr="00EB1115">
        <w:t>—there are many ways in which the system can both limit and promote th</w:t>
      </w:r>
      <w:r w:rsidR="002B38A6" w:rsidRPr="00EB1115">
        <w:t>is</w:t>
      </w:r>
      <w:r w:rsidR="001E300D" w:rsidRPr="00EB1115">
        <w:t xml:space="preserve"> right.</w:t>
      </w:r>
      <w:r w:rsidR="00D30260">
        <w:t xml:space="preserve"> </w:t>
      </w:r>
      <w:r w:rsidR="00366227" w:rsidRPr="00D30260">
        <w:t>The right to equality under the Charter is central to the rights of people with lived exper</w:t>
      </w:r>
      <w:r w:rsidR="00FD269D" w:rsidRPr="00D30260">
        <w:t xml:space="preserve">ience of mental health issues and using services. </w:t>
      </w:r>
      <w:r w:rsidR="00851A27" w:rsidRPr="00D30260">
        <w:t>It is a ‘large’ right, meaning there are many parts to it</w:t>
      </w:r>
      <w:r w:rsidR="005560B1" w:rsidRPr="00D30260">
        <w:t>. Each of these will be unpacked separately.</w:t>
      </w:r>
      <w:r w:rsidR="6D69D0D5">
        <w:t xml:space="preserve"> </w:t>
      </w:r>
    </w:p>
    <w:p w14:paraId="13EF5A13" w14:textId="03A7A7D7" w:rsidR="00091271" w:rsidRDefault="00091271" w:rsidP="00CE7756">
      <w:pPr>
        <w:pStyle w:val="Heading2-report"/>
      </w:pPr>
      <w:r>
        <w:t>The right to recognition as a person before the law</w:t>
      </w:r>
    </w:p>
    <w:p w14:paraId="3F847484" w14:textId="7021B44D" w:rsidR="000A0BCC" w:rsidRDefault="6D69D0D5" w:rsidP="000A0BCC">
      <w:r>
        <w:t>Whether someone is a ‘person’ or not in the eyes of the law has been significant to disability and mental health rights.</w:t>
      </w:r>
      <w:r w:rsidR="009E417F" w:rsidRPr="0091262D">
        <w:rPr>
          <w:rStyle w:val="FootnoteReference"/>
        </w:rPr>
        <w:footnoteReference w:id="4"/>
      </w:r>
      <w:r>
        <w:t xml:space="preserve"> It can often determine whether someone is considered capable of holding and exercising rights. Section 8(1) of the Charter makes clear that every person has the right to recognition before the law.</w:t>
      </w:r>
    </w:p>
    <w:p w14:paraId="4C79F48D" w14:textId="3470B536" w:rsidR="00FF6CA5" w:rsidRDefault="00FF6CA5" w:rsidP="00D93BE5">
      <w:pPr>
        <w:pStyle w:val="Heading3-report"/>
      </w:pPr>
      <w:r>
        <w:t>When could this arise in your work?</w:t>
      </w:r>
    </w:p>
    <w:p w14:paraId="429F05F1" w14:textId="119AE02B" w:rsidR="00FF6CA5" w:rsidRDefault="6D69D0D5" w:rsidP="00FF6CA5">
      <w:pPr>
        <w:rPr>
          <w:lang w:eastAsia="en-AU"/>
        </w:rPr>
      </w:pPr>
      <w:r w:rsidRPr="6D69D0D5">
        <w:rPr>
          <w:lang w:eastAsia="en-AU"/>
        </w:rPr>
        <w:t>When developing, reviewing or drafting mental health laws, questions of legal personhood and legal capacity are likely to arise. The Charter is likely to protect an individuals’ lawful rights to commence, defend and participate in legal proceedings</w:t>
      </w:r>
      <w:r w:rsidR="00104869" w:rsidRPr="0091262D">
        <w:rPr>
          <w:rStyle w:val="FootnoteReference"/>
        </w:rPr>
        <w:footnoteReference w:id="5"/>
      </w:r>
      <w:r w:rsidRPr="6D69D0D5">
        <w:rPr>
          <w:lang w:eastAsia="en-AU"/>
        </w:rPr>
        <w:t>, whereas the CRPD provides a more complete picture that ‘persons with disabilities enjoy legal capacity on an equal basis with others in all aspects of life’.</w:t>
      </w:r>
      <w:r w:rsidR="00104869" w:rsidRPr="00705BED">
        <w:rPr>
          <w:rStyle w:val="FootnoteReference"/>
        </w:rPr>
        <w:footnoteReference w:id="6"/>
      </w:r>
      <w:r w:rsidRPr="6D69D0D5">
        <w:rPr>
          <w:lang w:eastAsia="en-AU"/>
        </w:rPr>
        <w:t xml:space="preserve"> </w:t>
      </w:r>
    </w:p>
    <w:p w14:paraId="1FCD2ECE" w14:textId="274CEAF7" w:rsidR="000F7BA9" w:rsidRDefault="6D69D0D5" w:rsidP="00FF6CA5">
      <w:pPr>
        <w:rPr>
          <w:lang w:eastAsia="en-AU"/>
        </w:rPr>
      </w:pPr>
      <w:r w:rsidRPr="6D69D0D5">
        <w:rPr>
          <w:lang w:eastAsia="en-AU"/>
        </w:rPr>
        <w:lastRenderedPageBreak/>
        <w:t>When mechanisms of supported decision-making are being developed and implemented, this supports the exercise of this right. The concept of legal capacity under the CRPD has been argued as meaning the state should not pass laws that take away the right for a person to make decisions about their mental health treatment. Instead, a state should remove any social barriers disabling a person and provide them with the necessary supports so that they can exercise their legal capacity.</w:t>
      </w:r>
      <w:r w:rsidR="00BB0186" w:rsidRPr="0091262D">
        <w:rPr>
          <w:rStyle w:val="FootnoteReference"/>
        </w:rPr>
        <w:footnoteReference w:id="7"/>
      </w:r>
      <w:r w:rsidRPr="6D69D0D5">
        <w:rPr>
          <w:lang w:eastAsia="en-AU"/>
        </w:rPr>
        <w:t xml:space="preserve"> While mental health laws in Victoria do not fully realise this approach, they do support its exercise to a lesser degree. Opportunities for you to enhance supported decision-making mechanisms, principles and practices within services will promote this right.</w:t>
      </w:r>
    </w:p>
    <w:p w14:paraId="3F991DB6" w14:textId="40340C1E" w:rsidR="00EE5E31" w:rsidRDefault="003A2A70" w:rsidP="00705BED">
      <w:pPr>
        <w:pStyle w:val="Heading2-report"/>
        <w:rPr>
          <w:lang w:eastAsia="en-AU"/>
        </w:rPr>
      </w:pPr>
      <w:r>
        <w:rPr>
          <w:lang w:eastAsia="en-AU"/>
        </w:rPr>
        <w:t>The right to enjoy human rights without discrimination</w:t>
      </w:r>
    </w:p>
    <w:p w14:paraId="1E7D5BB4" w14:textId="78DB49A8" w:rsidR="00B5493E" w:rsidRDefault="6D69D0D5" w:rsidP="00091271">
      <w:r>
        <w:t xml:space="preserve">The right to equality is also about ensuring people enjoy </w:t>
      </w:r>
      <w:r w:rsidRPr="6D69D0D5">
        <w:rPr>
          <w:i/>
          <w:iCs/>
        </w:rPr>
        <w:t>all of their other rights equally.</w:t>
      </w:r>
      <w:r>
        <w:t xml:space="preserve"> Subsections 8(2) and (3) of the Charter set out rights to equality before the law and the equal protection of the law ‘without discrimination’.</w:t>
      </w:r>
    </w:p>
    <w:p w14:paraId="0418C4D3" w14:textId="1FFF560C" w:rsidR="00031F55" w:rsidRDefault="6D69D0D5" w:rsidP="00A23C11">
      <w:r>
        <w:t>This means that you should not be denied enjoyment of your other rights under the Charter for discriminatory reasons, such as your mental health status</w:t>
      </w:r>
      <w:r w:rsidR="0054580C" w:rsidRPr="0091262D">
        <w:rPr>
          <w:rStyle w:val="FootnoteReference"/>
        </w:rPr>
        <w:footnoteReference w:id="8"/>
      </w:r>
      <w:r>
        <w:t xml:space="preserve">, disability, sex, sexual orientation or other protected </w:t>
      </w:r>
      <w:r w:rsidR="00233AD6">
        <w:t>attribute</w:t>
      </w:r>
      <w:r>
        <w:t>.</w:t>
      </w:r>
      <w:r w:rsidR="002C2EAF">
        <w:t xml:space="preserve"> This extends to carers of people with mental health and other issues.</w:t>
      </w:r>
      <w:r>
        <w:t xml:space="preserve"> The meaning of discrimination is the same as in the</w:t>
      </w:r>
      <w:r w:rsidR="00091271">
        <w:t xml:space="preserve"> </w:t>
      </w:r>
      <w:r w:rsidR="00091271" w:rsidRPr="6D69D0D5">
        <w:rPr>
          <w:i/>
          <w:iCs/>
        </w:rPr>
        <w:t>Equal Opportunity Act 2010</w:t>
      </w:r>
      <w:r w:rsidR="004532F2" w:rsidRPr="6D69D0D5">
        <w:rPr>
          <w:i/>
          <w:iCs/>
        </w:rPr>
        <w:t xml:space="preserve"> </w:t>
      </w:r>
      <w:r w:rsidR="004532F2">
        <w:t>(Vic)</w:t>
      </w:r>
      <w:r>
        <w:t xml:space="preserve"> (</w:t>
      </w:r>
      <w:r w:rsidRPr="6D69D0D5">
        <w:rPr>
          <w:b/>
          <w:bCs/>
        </w:rPr>
        <w:t>Equal Opportunity Act</w:t>
      </w:r>
      <w:r>
        <w:t>),</w:t>
      </w:r>
      <w:r w:rsidR="00091271" w:rsidRPr="0091262D">
        <w:rPr>
          <w:rStyle w:val="FootnoteReference"/>
        </w:rPr>
        <w:footnoteReference w:id="9"/>
      </w:r>
      <w:r>
        <w:t xml:space="preserve"> which also outlines the ‘protected attributes’ which protect people from particular communities.</w:t>
      </w:r>
      <w:r w:rsidR="00936C92" w:rsidRPr="0091262D">
        <w:rPr>
          <w:rStyle w:val="FootnoteReference"/>
        </w:rPr>
        <w:footnoteReference w:id="10"/>
      </w:r>
    </w:p>
    <w:p w14:paraId="53969D5D" w14:textId="085C3EAC" w:rsidR="00091271" w:rsidRDefault="00031F55" w:rsidP="00091271">
      <w:r>
        <w:t xml:space="preserve">The Equal Opportunity Act and this right protect against </w:t>
      </w:r>
      <w:r w:rsidR="00F34C8E">
        <w:t xml:space="preserve">any limitations on your rights based on </w:t>
      </w:r>
      <w:r w:rsidR="00F34C8E">
        <w:rPr>
          <w:b/>
          <w:bCs/>
        </w:rPr>
        <w:t>direct</w:t>
      </w:r>
      <w:r w:rsidR="00F34C8E">
        <w:t xml:space="preserve"> or </w:t>
      </w:r>
      <w:r w:rsidR="00F34C8E">
        <w:rPr>
          <w:b/>
          <w:bCs/>
        </w:rPr>
        <w:t>indirect</w:t>
      </w:r>
      <w:r w:rsidR="00F34C8E">
        <w:t xml:space="preserve"> discriminatory reasons.</w:t>
      </w:r>
      <w:r w:rsidR="00C30928">
        <w:rPr>
          <w:b/>
          <w:bCs/>
        </w:rPr>
        <w:t xml:space="preserve"> </w:t>
      </w:r>
      <w:r w:rsidR="00091271">
        <w:t>Direct discrimination ‘occurs if a person treats, or propose</w:t>
      </w:r>
      <w:r w:rsidR="0066337E">
        <w:t>s</w:t>
      </w:r>
      <w:r w:rsidR="00091271">
        <w:t xml:space="preserve"> to treat, a person with an attribute unfavourably because of that attribute’.</w:t>
      </w:r>
      <w:r w:rsidR="00091271" w:rsidRPr="0091262D">
        <w:rPr>
          <w:rStyle w:val="FootnoteReference"/>
        </w:rPr>
        <w:footnoteReference w:id="11"/>
      </w:r>
    </w:p>
    <w:tbl>
      <w:tblPr>
        <w:tblStyle w:val="TableGrid"/>
        <w:tblW w:w="0" w:type="auto"/>
        <w:tblLook w:val="04A0" w:firstRow="1" w:lastRow="0" w:firstColumn="1" w:lastColumn="0" w:noHBand="0" w:noVBand="1"/>
      </w:tblPr>
      <w:tblGrid>
        <w:gridCol w:w="9060"/>
      </w:tblGrid>
      <w:tr w:rsidR="008269F5" w14:paraId="5A71E5DE" w14:textId="77777777" w:rsidTr="00D90312">
        <w:tc>
          <w:tcPr>
            <w:tcW w:w="9060" w:type="dxa"/>
            <w:tcBorders>
              <w:top w:val="thickThinSmallGap" w:sz="24" w:space="0" w:color="201547"/>
              <w:left w:val="nil"/>
              <w:bottom w:val="thickThinSmallGap" w:sz="24" w:space="0" w:color="201547"/>
              <w:right w:val="nil"/>
            </w:tcBorders>
            <w:shd w:val="clear" w:color="auto" w:fill="F2F2F2" w:themeFill="background1" w:themeFillShade="F2"/>
          </w:tcPr>
          <w:p w14:paraId="26B4ECC8" w14:textId="2F39EAA6" w:rsidR="008269F5" w:rsidRPr="0059498D" w:rsidRDefault="008269F5" w:rsidP="00785B9A">
            <w:pPr>
              <w:pStyle w:val="Heading3-report"/>
            </w:pPr>
            <w:r w:rsidRPr="0059498D">
              <w:t>Di</w:t>
            </w:r>
            <w:r>
              <w:t>rect di</w:t>
            </w:r>
            <w:r w:rsidRPr="0059498D">
              <w:t>scrimination: how can you spot it?</w:t>
            </w:r>
          </w:p>
          <w:p w14:paraId="05EC6F2E" w14:textId="53AB83CE" w:rsidR="008269F5" w:rsidRDefault="004D4B19" w:rsidP="00AE59AF">
            <w:r>
              <w:t>A</w:t>
            </w:r>
            <w:r w:rsidR="008269F5">
              <w:t xml:space="preserve"> simple starting point is to ask yourself the question: is someone being treated unfairly? If that person is treated unfairly because of a ‘protected attributed’ such as mental health (see below), there may be direct discrimination.</w:t>
            </w:r>
          </w:p>
        </w:tc>
      </w:tr>
    </w:tbl>
    <w:p w14:paraId="541FD013" w14:textId="77777777" w:rsidR="00091271" w:rsidRDefault="00091271" w:rsidP="00EB05B9">
      <w:pPr>
        <w:spacing w:before="120"/>
      </w:pPr>
      <w:r>
        <w:t>Indirect discrimination ‘occurs if a person imposes or proposes to impose, a requirement, condition or practice—(a) that has, or is likely to have, the effect of disadvantaging persons with an attribute; and (b) that is not reasonable’.</w:t>
      </w:r>
      <w:r w:rsidRPr="0091262D">
        <w:rPr>
          <w:rStyle w:val="FootnoteReference"/>
        </w:rPr>
        <w:footnoteReference w:id="12"/>
      </w:r>
    </w:p>
    <w:tbl>
      <w:tblPr>
        <w:tblStyle w:val="TableGrid"/>
        <w:tblW w:w="0" w:type="auto"/>
        <w:tblLook w:val="04A0" w:firstRow="1" w:lastRow="0" w:firstColumn="1" w:lastColumn="0" w:noHBand="0" w:noVBand="1"/>
      </w:tblPr>
      <w:tblGrid>
        <w:gridCol w:w="9060"/>
      </w:tblGrid>
      <w:tr w:rsidR="007D0B30" w14:paraId="48720043" w14:textId="77777777" w:rsidTr="00D90312">
        <w:tc>
          <w:tcPr>
            <w:tcW w:w="9060" w:type="dxa"/>
            <w:tcBorders>
              <w:top w:val="thickThinSmallGap" w:sz="24" w:space="0" w:color="201547"/>
              <w:left w:val="nil"/>
              <w:bottom w:val="thickThinSmallGap" w:sz="24" w:space="0" w:color="201547"/>
              <w:right w:val="nil"/>
            </w:tcBorders>
            <w:shd w:val="clear" w:color="auto" w:fill="F2F2F2" w:themeFill="background1" w:themeFillShade="F2"/>
          </w:tcPr>
          <w:p w14:paraId="7BAB2A45" w14:textId="05972A74" w:rsidR="007D0B30" w:rsidRPr="00EB05B9" w:rsidRDefault="00983E0B" w:rsidP="00785B9A">
            <w:pPr>
              <w:pStyle w:val="Heading3-report"/>
            </w:pPr>
            <w:r w:rsidRPr="00EB05B9">
              <w:lastRenderedPageBreak/>
              <w:t>Indirect d</w:t>
            </w:r>
            <w:r w:rsidR="007D0B30" w:rsidRPr="00EB05B9">
              <w:t xml:space="preserve">iscrimination: </w:t>
            </w:r>
            <w:r w:rsidR="00194F9F">
              <w:t xml:space="preserve">treated the </w:t>
            </w:r>
            <w:r w:rsidR="007D0B30" w:rsidRPr="00EB05B9">
              <w:rPr>
                <w:i/>
                <w:iCs/>
              </w:rPr>
              <w:t>same</w:t>
            </w:r>
            <w:r w:rsidR="007D0B30" w:rsidRPr="00EB05B9">
              <w:t>, but unequal</w:t>
            </w:r>
            <w:r w:rsidR="00194F9F" w:rsidRPr="00EB05B9">
              <w:rPr>
                <w:i/>
                <w:iCs/>
              </w:rPr>
              <w:t xml:space="preserve"> outcomes</w:t>
            </w:r>
          </w:p>
          <w:p w14:paraId="2082793E" w14:textId="04140723" w:rsidR="007D0B30" w:rsidRDefault="007D0B30" w:rsidP="00091271">
            <w:r>
              <w:t xml:space="preserve">Sometimes a requirement, condition or practice may be stated in </w:t>
            </w:r>
            <w:r w:rsidR="00983E0B">
              <w:t>‘</w:t>
            </w:r>
            <w:r>
              <w:t>neutral</w:t>
            </w:r>
            <w:r w:rsidR="00983E0B">
              <w:t>’</w:t>
            </w:r>
            <w:r>
              <w:t xml:space="preserve"> terms but </w:t>
            </w:r>
            <w:r w:rsidR="001F3B35">
              <w:t xml:space="preserve">disadvantages someone who is a member of a group protected under law (see below). </w:t>
            </w:r>
            <w:r w:rsidR="00811B0E">
              <w:t>For example, having one entrance to a ward via stairs may appear equal for everyone, but in fact disadvantage</w:t>
            </w:r>
            <w:r w:rsidR="00BE3B20">
              <w:t>s</w:t>
            </w:r>
            <w:r w:rsidR="00811B0E">
              <w:t xml:space="preserve"> a wheelchair user.</w:t>
            </w:r>
            <w:r w:rsidR="00983E0B">
              <w:t xml:space="preserve"> It’s important to consider whether blanket rules or policies will disadvantage specific groups.</w:t>
            </w:r>
            <w:r w:rsidR="003E3583">
              <w:t xml:space="preserve"> When the requirement, condition or practice: (1) disadvantages people of a protected group, and (2) is not reasonable, this is indirect discrimination.</w:t>
            </w:r>
          </w:p>
        </w:tc>
      </w:tr>
    </w:tbl>
    <w:p w14:paraId="22299577" w14:textId="7EC70EBE" w:rsidR="00440FAB" w:rsidRDefault="6D69D0D5" w:rsidP="00EB05B9">
      <w:pPr>
        <w:spacing w:before="120"/>
      </w:pPr>
      <w:r>
        <w:t xml:space="preserve">There are several steps in determining whether a rule, condition or practice is, but broadly they will ask you to assess whether a practice is </w:t>
      </w:r>
      <w:r w:rsidRPr="6D69D0D5">
        <w:rPr>
          <w:b/>
          <w:bCs/>
        </w:rPr>
        <w:t>reasonable</w:t>
      </w:r>
      <w:r>
        <w:t xml:space="preserve"> or not.</w:t>
      </w:r>
      <w:r w:rsidR="00752C9E" w:rsidRPr="0091262D">
        <w:rPr>
          <w:rStyle w:val="FootnoteReference"/>
        </w:rPr>
        <w:footnoteReference w:id="13"/>
      </w:r>
    </w:p>
    <w:p w14:paraId="1CCDB51A" w14:textId="64EA4288" w:rsidR="00936C92" w:rsidRDefault="00352C75" w:rsidP="007107BB">
      <w:pPr>
        <w:pStyle w:val="Heading3-report"/>
      </w:pPr>
      <w:r>
        <w:t>When could this arise in your work?</w:t>
      </w:r>
    </w:p>
    <w:p w14:paraId="06CEE0A2" w14:textId="289E9EB3" w:rsidR="00352C75" w:rsidRDefault="008A3747">
      <w:pPr>
        <w:rPr>
          <w:lang w:eastAsia="en-AU"/>
        </w:rPr>
      </w:pPr>
      <w:r>
        <w:rPr>
          <w:lang w:eastAsia="en-AU"/>
        </w:rPr>
        <w:t>In your work you will often be developing or implementing policy</w:t>
      </w:r>
      <w:r w:rsidR="00800977">
        <w:rPr>
          <w:lang w:eastAsia="en-AU"/>
        </w:rPr>
        <w:t xml:space="preserve"> that will determine whether </w:t>
      </w:r>
      <w:r w:rsidR="00D56DBA">
        <w:rPr>
          <w:lang w:eastAsia="en-AU"/>
        </w:rPr>
        <w:t xml:space="preserve">people are able to enjoy their human rights without discrimination. </w:t>
      </w:r>
    </w:p>
    <w:p w14:paraId="06E624C7" w14:textId="041C9227" w:rsidR="0028306F" w:rsidRDefault="0078054C" w:rsidP="0078054C">
      <w:pPr>
        <w:pStyle w:val="Heading4"/>
      </w:pPr>
      <w:r>
        <w:t>Meeting individual needs</w:t>
      </w:r>
    </w:p>
    <w:p w14:paraId="74D7F8FD" w14:textId="615A6EF5" w:rsidR="0078054C" w:rsidRDefault="0078054C" w:rsidP="0078054C">
      <w:pPr>
        <w:rPr>
          <w:lang w:eastAsia="en-AU"/>
        </w:rPr>
      </w:pPr>
      <w:r>
        <w:rPr>
          <w:lang w:eastAsia="en-AU"/>
        </w:rPr>
        <w:t xml:space="preserve">Mental health and wellbeing services should be responsive to </w:t>
      </w:r>
      <w:r w:rsidR="007524D3">
        <w:rPr>
          <w:lang w:eastAsia="en-AU"/>
        </w:rPr>
        <w:t>people’s different needs. However, individuals from marginalised or under-represented backgrounds often experience care that isn’t responsive to their circumstances, or worse, is racist, ableist, not trans or gender-inclusive. Th</w:t>
      </w:r>
      <w:r w:rsidR="006A605F">
        <w:rPr>
          <w:lang w:eastAsia="en-AU"/>
        </w:rPr>
        <w:t>is right should spring to mind when you hear these concerns.</w:t>
      </w:r>
    </w:p>
    <w:p w14:paraId="3AA4D61A" w14:textId="017F14DF" w:rsidR="006A605F" w:rsidRDefault="006A605F" w:rsidP="006A605F">
      <w:pPr>
        <w:pStyle w:val="Heading4"/>
      </w:pPr>
      <w:r>
        <w:t>Stigma</w:t>
      </w:r>
      <w:r w:rsidR="00BD6F45">
        <w:t>, discrimination and power imbalances</w:t>
      </w:r>
    </w:p>
    <w:p w14:paraId="359DB0E1" w14:textId="718CB213" w:rsidR="00650104" w:rsidRDefault="00BD6F45" w:rsidP="00BD6F45">
      <w:pPr>
        <w:rPr>
          <w:lang w:eastAsia="en-AU"/>
        </w:rPr>
      </w:pPr>
      <w:r>
        <w:rPr>
          <w:lang w:eastAsia="en-AU"/>
        </w:rPr>
        <w:t>In areas where there is historical and contemporary mental health stigma, discrimination and power imbalances, this right becomes relevant. It can become relevant where someone receives a lower standard of care because of a particular attribute they have. It can also be relevant where designated consumer and carer workforces experience poorer workplace conditions because of their mental health experience or carer experience.</w:t>
      </w:r>
    </w:p>
    <w:tbl>
      <w:tblPr>
        <w:tblStyle w:val="TableGrid"/>
        <w:tblW w:w="0" w:type="auto"/>
        <w:tblLook w:val="04A0" w:firstRow="1" w:lastRow="0" w:firstColumn="1" w:lastColumn="0" w:noHBand="0" w:noVBand="1"/>
      </w:tblPr>
      <w:tblGrid>
        <w:gridCol w:w="9060"/>
      </w:tblGrid>
      <w:tr w:rsidR="008D6916" w14:paraId="0AE0EE8F" w14:textId="77777777" w:rsidTr="6D69D0D5">
        <w:tc>
          <w:tcPr>
            <w:tcW w:w="9060" w:type="dxa"/>
            <w:tcBorders>
              <w:top w:val="thickThinSmallGap" w:sz="24" w:space="0" w:color="201547"/>
              <w:left w:val="nil"/>
              <w:bottom w:val="thickThinSmallGap" w:sz="24" w:space="0" w:color="201547"/>
              <w:right w:val="nil"/>
            </w:tcBorders>
            <w:shd w:val="clear" w:color="auto" w:fill="F2F2F2" w:themeFill="background1" w:themeFillShade="F2"/>
          </w:tcPr>
          <w:p w14:paraId="731C8995" w14:textId="77777777" w:rsidR="008D6916" w:rsidRPr="008D6916" w:rsidRDefault="008D6916" w:rsidP="008D6916">
            <w:pPr>
              <w:rPr>
                <w:b/>
                <w:bCs/>
                <w:color w:val="201547"/>
                <w:sz w:val="28"/>
                <w:szCs w:val="28"/>
              </w:rPr>
            </w:pPr>
            <w:r w:rsidRPr="008D6916">
              <w:rPr>
                <w:b/>
                <w:bCs/>
                <w:color w:val="201547"/>
                <w:sz w:val="28"/>
                <w:szCs w:val="28"/>
              </w:rPr>
              <w:t>Discrimination within the mental health system</w:t>
            </w:r>
          </w:p>
          <w:p w14:paraId="28D70A92" w14:textId="77777777" w:rsidR="008D6916" w:rsidRDefault="008D6916" w:rsidP="00E94123">
            <w:r w:rsidRPr="00D24D36">
              <w:t>The Royal Commission</w:t>
            </w:r>
            <w:r>
              <w:t xml:space="preserve"> noted that discrimination occurs in relation to people with a mental health diagnosis both in the community and in the mental health system itself. It noted that:</w:t>
            </w:r>
          </w:p>
          <w:p w14:paraId="5CBD5D2D" w14:textId="0921AC42" w:rsidR="008D6916" w:rsidRDefault="008D6916" w:rsidP="00166CE2">
            <w:pPr>
              <w:spacing w:before="120"/>
              <w:ind w:left="720"/>
              <w:rPr>
                <w:sz w:val="22"/>
                <w:szCs w:val="20"/>
              </w:rPr>
            </w:pPr>
            <w:r>
              <w:rPr>
                <w:sz w:val="22"/>
                <w:szCs w:val="20"/>
              </w:rPr>
              <w:t xml:space="preserve">Many people shared with the Commission their experiences of stigma and discrimination within healthcare settings, including mental health settings. Consumers spoke of being ignored, judged, dismissed, undermined and not believed, particularly in relation to their personal history and treatment needs—and often during periods of crisis. </w:t>
            </w:r>
          </w:p>
          <w:p w14:paraId="67AC74E4" w14:textId="77777777" w:rsidR="008D6916" w:rsidRDefault="008D6916" w:rsidP="00E94123">
            <w:pPr>
              <w:spacing w:before="120"/>
              <w:ind w:left="720"/>
              <w:rPr>
                <w:sz w:val="22"/>
                <w:szCs w:val="20"/>
              </w:rPr>
            </w:pPr>
            <w:r w:rsidRPr="007151BB">
              <w:rPr>
                <w:sz w:val="22"/>
              </w:rPr>
              <w:t xml:space="preserve">There are many consequences that arise from this stigma and discrimination. Research indicates that stigma within healthcare settings is a deterrent to seeking care. People described being dehumanised and devalued by health professionals, being excluded from decisions about care, being threatened with coercive treatment, and being spoken to in a </w:t>
            </w:r>
            <w:r w:rsidRPr="007151BB">
              <w:rPr>
                <w:sz w:val="22"/>
              </w:rPr>
              <w:lastRenderedPageBreak/>
              <w:t>demeaning manner. These experiences often reflect a lower quality of care, breaches of consumer human rights, and poorer health outcomes</w:t>
            </w:r>
            <w:r>
              <w:rPr>
                <w:sz w:val="22"/>
              </w:rPr>
              <w:t xml:space="preserve"> … .</w:t>
            </w:r>
            <w:r w:rsidRPr="0091262D">
              <w:rPr>
                <w:rStyle w:val="FootnoteReference"/>
              </w:rPr>
              <w:footnoteReference w:id="14"/>
            </w:r>
          </w:p>
          <w:p w14:paraId="5E0D3E18" w14:textId="77777777" w:rsidR="008D6916" w:rsidRDefault="008D6916" w:rsidP="00E94123">
            <w:pPr>
              <w:spacing w:before="120"/>
            </w:pPr>
            <w:r>
              <w:t>The Royal Commission also heard about stigma and discriminatory attitudes towards people diagnosed with particular conditions. For example, Dr Chris Groot, Lecturer at the Melbourne School of Psychological Sciences, University of Melbourne told the Royal Commission that:</w:t>
            </w:r>
          </w:p>
          <w:p w14:paraId="3D1414CE" w14:textId="77777777" w:rsidR="008D6916" w:rsidRDefault="008D6916" w:rsidP="00ED5F62">
            <w:pPr>
              <w:pStyle w:val="Blockquote"/>
              <w:spacing w:before="120" w:after="120"/>
            </w:pPr>
            <w:r>
              <w:t>there is a common perception in mental health workers that people labelled with [borderline personality disorder] are manipulative and may not actually be at risk of suicide when they present as such to crisis services; however, they are 45 times more likely to die by suicide than people in the general population’.</w:t>
            </w:r>
            <w:r w:rsidRPr="0091262D">
              <w:rPr>
                <w:rStyle w:val="FootnoteReference"/>
              </w:rPr>
              <w:footnoteReference w:id="15"/>
            </w:r>
          </w:p>
          <w:p w14:paraId="466F06DD" w14:textId="77777777" w:rsidR="008D6916" w:rsidRDefault="008D6916" w:rsidP="00E94123">
            <w:pPr>
              <w:spacing w:before="120"/>
            </w:pPr>
            <w:r w:rsidRPr="00CD211A">
              <w:t>Asso</w:t>
            </w:r>
            <w:r>
              <w:t>ciate Professor Dan Siskind, Clinical Academic Psychiatrist at the Princess Alexandra Hospital and academic at the University of Queensland, pointed the Royal Commission to discrepancies in diagnosis and treatment for cancer:</w:t>
            </w:r>
          </w:p>
          <w:p w14:paraId="2C6738EF" w14:textId="77777777" w:rsidR="008D6916" w:rsidRDefault="008D6916" w:rsidP="00ED5F62">
            <w:pPr>
              <w:pStyle w:val="Blockquote"/>
              <w:spacing w:before="120" w:after="120"/>
            </w:pPr>
            <w:r>
              <w:t>people with [a diagnosis of] schizophrenia are no more or less likely to develop cancer, but are much more likely to die of it; they are less likely to be investigated for cancer, and even if they are investigated for cancer, they are less likely to get evidence-based care.</w:t>
            </w:r>
            <w:r w:rsidRPr="0091262D">
              <w:rPr>
                <w:rStyle w:val="FootnoteReference"/>
              </w:rPr>
              <w:footnoteReference w:id="16"/>
            </w:r>
          </w:p>
          <w:p w14:paraId="0EFFEAD7" w14:textId="33A403A2" w:rsidR="00C2764E" w:rsidRDefault="008D6916" w:rsidP="00F263E2">
            <w:r>
              <w:t>R</w:t>
            </w:r>
            <w:r w:rsidRPr="00CD211A">
              <w:t>efusing</w:t>
            </w:r>
            <w:r>
              <w:t xml:space="preserve"> care, or providing a lower standard of</w:t>
            </w:r>
            <w:r w:rsidRPr="00CD211A">
              <w:t xml:space="preserve"> care</w:t>
            </w:r>
            <w:r>
              <w:t>,</w:t>
            </w:r>
            <w:r w:rsidRPr="00CD211A">
              <w:t xml:space="preserve"> to someone because they have a </w:t>
            </w:r>
            <w:r>
              <w:t xml:space="preserve">particular </w:t>
            </w:r>
            <w:r w:rsidRPr="00CD211A">
              <w:t>diagnosis</w:t>
            </w:r>
            <w:r>
              <w:t xml:space="preserve">, such as </w:t>
            </w:r>
            <w:r w:rsidRPr="00CD211A">
              <w:t>borderline personality disorder</w:t>
            </w:r>
            <w:r>
              <w:t>,</w:t>
            </w:r>
            <w:r w:rsidRPr="00CD211A">
              <w:t xml:space="preserve"> is treating them unfavourably because of a protected attribute</w:t>
            </w:r>
            <w:r>
              <w:t xml:space="preserve"> and is likely to be unlawful discrimination.</w:t>
            </w:r>
            <w:r w:rsidRPr="0091262D">
              <w:rPr>
                <w:rStyle w:val="FootnoteReference"/>
              </w:rPr>
              <w:footnoteReference w:id="17"/>
            </w:r>
            <w:r>
              <w:t xml:space="preserve"> Appropriate clinical care, including assessments about whether someone should be given access to a service, must still operate within constraints of the law. Often, this will require public officials, services and clinicians to work with people with lived experience to design and implement solutions that address clinical and psychosocial needs in a non-discriminatory way.</w:t>
            </w:r>
          </w:p>
        </w:tc>
      </w:tr>
    </w:tbl>
    <w:p w14:paraId="5B8FDCFA" w14:textId="03929AF6" w:rsidR="00CA2076" w:rsidRDefault="00CA2076" w:rsidP="00CA2076">
      <w:pPr>
        <w:pStyle w:val="Heading3-report"/>
      </w:pPr>
    </w:p>
    <w:p w14:paraId="4146D2FE" w14:textId="4B795C26" w:rsidR="00091271" w:rsidRDefault="00091271" w:rsidP="002E448E">
      <w:pPr>
        <w:pStyle w:val="Heading2-report"/>
      </w:pPr>
      <w:r>
        <w:t>The right to</w:t>
      </w:r>
      <w:r w:rsidR="002E448E">
        <w:t xml:space="preserve"> equality before the law,</w:t>
      </w:r>
      <w:r>
        <w:t xml:space="preserve"> </w:t>
      </w:r>
      <w:r w:rsidR="00CA2076">
        <w:t xml:space="preserve">equal protection from the law </w:t>
      </w:r>
      <w:r w:rsidR="002E448E">
        <w:t>without discrimination, and equal and effective protection against discrimination</w:t>
      </w:r>
    </w:p>
    <w:p w14:paraId="7C1DAD81" w14:textId="77777777" w:rsidR="00091271" w:rsidRDefault="00091271" w:rsidP="00091271">
      <w:r>
        <w:t xml:space="preserve">There are three parts to section 8(3). The first part addresses the right to equality before the law. This aspect of the right is about the general application, administration and enforcement of the law and the equal treatment of all persons who come before the law. </w:t>
      </w:r>
    </w:p>
    <w:p w14:paraId="116F47DF" w14:textId="77777777" w:rsidR="000E0DD2" w:rsidRDefault="00091271" w:rsidP="000E0DD2">
      <w:pPr>
        <w:keepLines/>
      </w:pPr>
      <w:r>
        <w:lastRenderedPageBreak/>
        <w:t xml:space="preserve">The other two parts of section 8(3)—the equal protection of </w:t>
      </w:r>
      <w:r w:rsidR="00FA0506">
        <w:t xml:space="preserve">the </w:t>
      </w:r>
      <w:r>
        <w:t>law without discrimination and equal and effective protection against discrimination—require substantive equality, that is, that people may need to be treated differently to ensure equal protection.</w:t>
      </w:r>
      <w:r w:rsidRPr="0091262D">
        <w:rPr>
          <w:rStyle w:val="FootnoteReference"/>
        </w:rPr>
        <w:footnoteReference w:id="18"/>
      </w:r>
      <w:r>
        <w:t xml:space="preserve"> </w:t>
      </w:r>
    </w:p>
    <w:p w14:paraId="75A42213" w14:textId="00B98F61" w:rsidR="000E0DD2" w:rsidRDefault="000E0DD2" w:rsidP="000E0DD2">
      <w:pPr>
        <w:pStyle w:val="Heading3-report"/>
      </w:pPr>
      <w:r>
        <w:t>When this may arise in your work</w:t>
      </w:r>
    </w:p>
    <w:p w14:paraId="459EC036" w14:textId="3C9A2EC0" w:rsidR="002D0F71" w:rsidRDefault="00091271" w:rsidP="000E0DD2">
      <w:pPr>
        <w:keepLines/>
      </w:pPr>
      <w:r>
        <w:t>Victorian courts have found this right to impose procedural requirements on courts and tribunals</w:t>
      </w:r>
      <w:r w:rsidR="000E0DD2">
        <w:t xml:space="preserve"> to make reasonable adjustments to ensure that they are accessible.</w:t>
      </w:r>
      <w:r w:rsidRPr="0091262D">
        <w:rPr>
          <w:rStyle w:val="FootnoteReference"/>
        </w:rPr>
        <w:footnoteReference w:id="19"/>
      </w:r>
      <w:r w:rsidR="000E0DD2">
        <w:t xml:space="preserve"> Another</w:t>
      </w:r>
      <w:r w:rsidR="003F6B77">
        <w:t xml:space="preserve"> example where this applies is regarding the use of interpreters (</w:t>
      </w:r>
      <w:r w:rsidR="00FA0506">
        <w:t xml:space="preserve">refer to the example on the </w:t>
      </w:r>
      <w:r w:rsidR="003F6B77">
        <w:t xml:space="preserve">following page). </w:t>
      </w:r>
      <w:r w:rsidR="00A87DE0">
        <w:t>Therefore,</w:t>
      </w:r>
      <w:r w:rsidR="000E0DD2">
        <w:t xml:space="preserve"> where you are setting standards for mental health services or tribunals, you may need to consider these duties.</w:t>
      </w:r>
    </w:p>
    <w:tbl>
      <w:tblPr>
        <w:tblStyle w:val="TableGrid"/>
        <w:tblW w:w="0" w:type="auto"/>
        <w:tblLook w:val="04A0" w:firstRow="1" w:lastRow="0" w:firstColumn="1" w:lastColumn="0" w:noHBand="0" w:noVBand="1"/>
      </w:tblPr>
      <w:tblGrid>
        <w:gridCol w:w="9060"/>
      </w:tblGrid>
      <w:tr w:rsidR="00F263E2" w14:paraId="5F3FBE17" w14:textId="77777777" w:rsidTr="6D69D0D5">
        <w:tc>
          <w:tcPr>
            <w:tcW w:w="9060" w:type="dxa"/>
            <w:tcBorders>
              <w:top w:val="thickThinSmallGap" w:sz="24" w:space="0" w:color="201547"/>
              <w:left w:val="nil"/>
              <w:bottom w:val="thickThinSmallGap" w:sz="24" w:space="0" w:color="201547"/>
              <w:right w:val="nil"/>
            </w:tcBorders>
            <w:shd w:val="clear" w:color="auto" w:fill="F2F2F2" w:themeFill="background1" w:themeFillShade="F2"/>
          </w:tcPr>
          <w:p w14:paraId="53413378" w14:textId="77777777" w:rsidR="00F263E2" w:rsidRDefault="00F263E2" w:rsidP="00F263E2">
            <w:pPr>
              <w:pStyle w:val="Heading3-report"/>
            </w:pPr>
            <w:r>
              <w:t>Lived and living experience workforce stigma, discrimination and power imbalances</w:t>
            </w:r>
          </w:p>
          <w:p w14:paraId="1DA50865" w14:textId="2738D88C" w:rsidR="00B1758E" w:rsidRPr="00B1758E" w:rsidRDefault="00F263E2" w:rsidP="00B1758E">
            <w:r>
              <w:t xml:space="preserve">The lived and living experience workforce </w:t>
            </w:r>
            <w:r w:rsidR="00B1758E">
              <w:t>(</w:t>
            </w:r>
            <w:r w:rsidR="00B1758E" w:rsidRPr="00B1758E">
              <w:rPr>
                <w:b/>
                <w:bCs/>
              </w:rPr>
              <w:t>LLEW</w:t>
            </w:r>
            <w:r w:rsidR="00B1758E">
              <w:t xml:space="preserve">) </w:t>
            </w:r>
            <w:r>
              <w:t>is a crucial component of the mental health and wellbeing system. It does, however, face significant cultural barriers in the workplace. The Royal Commission found that</w:t>
            </w:r>
            <w:r w:rsidR="00B1758E">
              <w:t xml:space="preserve"> people with lived experience and the LLEW are held back by ‘</w:t>
            </w:r>
            <w:r w:rsidR="00B1758E" w:rsidRPr="00B1758E">
              <w:t>complex power imbalances rooted in professional, historical, social and statutory hierarchies</w:t>
            </w:r>
            <w:r w:rsidR="00B1758E">
              <w:t>’.</w:t>
            </w:r>
            <w:r w:rsidR="005A3579">
              <w:rPr>
                <w:rStyle w:val="FootnoteReference"/>
              </w:rPr>
              <w:footnoteReference w:id="20"/>
            </w:r>
            <w:r w:rsidR="00B1758E">
              <w:t xml:space="preserve"> This can form stigma and discrimination faced by the LLEW.</w:t>
            </w:r>
            <w:r w:rsidR="00741125">
              <w:t xml:space="preserve"> </w:t>
            </w:r>
          </w:p>
        </w:tc>
      </w:tr>
    </w:tbl>
    <w:p w14:paraId="6C3AE52B" w14:textId="1CB26B7E" w:rsidR="003D6FD9" w:rsidRPr="00D75B46" w:rsidRDefault="003D6FD9" w:rsidP="00F263E2">
      <w:pPr>
        <w:spacing w:before="120"/>
      </w:pPr>
      <w:r>
        <w:t>Victorian law does not separately protect people with mental health issues from vilification in the way it protects the attributes of race and religion.</w:t>
      </w:r>
      <w:r w:rsidRPr="0091262D">
        <w:rPr>
          <w:rStyle w:val="FootnoteReference"/>
        </w:rPr>
        <w:footnoteReference w:id="21"/>
      </w:r>
      <w:r>
        <w:t xml:space="preserve"> Tasmania’s laws protect a broader range of attribute groups from public acts inciting hatred, including people with disability.</w:t>
      </w:r>
      <w:r w:rsidRPr="0091262D">
        <w:rPr>
          <w:rStyle w:val="FootnoteReference"/>
        </w:rPr>
        <w:footnoteReference w:id="22"/>
      </w:r>
      <w:r>
        <w:t xml:space="preserve"> The Victorian Government has committed to carefully considering extending anti-vilification protections to additional groups.</w:t>
      </w:r>
      <w:r w:rsidRPr="0091262D">
        <w:rPr>
          <w:rStyle w:val="FootnoteReference"/>
        </w:rPr>
        <w:footnoteReference w:id="23"/>
      </w:r>
    </w:p>
    <w:p w14:paraId="503E7358" w14:textId="77777777" w:rsidR="002D0F71" w:rsidRDefault="002D0F71" w:rsidP="00CA2076">
      <w:pPr>
        <w:pStyle w:val="Heading2-report"/>
      </w:pPr>
      <w:r>
        <w:t>Special measures</w:t>
      </w:r>
    </w:p>
    <w:p w14:paraId="31483A8E" w14:textId="77777777" w:rsidR="00A87DE0" w:rsidRDefault="002D0F71" w:rsidP="002D0F71">
      <w:r>
        <w:t>Section 8(4) of the Charter makes clear that measures adopted to assist or advance persons or groups who have been disadvantaged because of prior discrimination do not constitute discrimination. This sub-section recognises that special measures may be required to achieve equality for some groups in the community. It aligns with the provision for special measures in the Equal Opportunity Act.</w:t>
      </w:r>
      <w:r w:rsidRPr="0091262D">
        <w:rPr>
          <w:rStyle w:val="FootnoteReference"/>
        </w:rPr>
        <w:footnoteReference w:id="24"/>
      </w:r>
    </w:p>
    <w:p w14:paraId="787F6E4E" w14:textId="77777777" w:rsidR="00A87DE0" w:rsidRDefault="00A87DE0" w:rsidP="00A87DE0">
      <w:pPr>
        <w:pStyle w:val="Heading3-report"/>
      </w:pPr>
      <w:r>
        <w:t>When this may arise in your work</w:t>
      </w:r>
    </w:p>
    <w:p w14:paraId="524B5F1E" w14:textId="525EFE8B" w:rsidR="00467690" w:rsidRPr="00B86AD0" w:rsidRDefault="6D69D0D5" w:rsidP="00B86AD0">
      <w:r>
        <w:t xml:space="preserve">This is most likely to arise where you are designating roles within the Division for people with mental health consumer or carer experience or for Aboriginal Victorians. This reaffirms </w:t>
      </w:r>
      <w:r>
        <w:lastRenderedPageBreak/>
        <w:t>the Division’s capability of taking positive steps to designate roles for particular communities. It may also arise when you are designing or commissioning services specifically tailored to meet the needs of particular groups, such as younger or older people, women, LGBTIQ+ people, people with disability and Aboriginal Victorians.</w:t>
      </w:r>
      <w:r w:rsidR="00A87DE0">
        <w:br w:type="page"/>
      </w:r>
    </w:p>
    <w:p w14:paraId="5AD077DE" w14:textId="4044683A" w:rsidR="00324170" w:rsidRDefault="00B86AD0" w:rsidP="00324170">
      <w:pPr>
        <w:pStyle w:val="Heading2-report"/>
      </w:pPr>
      <w:r w:rsidRPr="00D31476">
        <w:rPr>
          <w:noProof/>
          <w:color w:val="FFFFFF" w:themeColor="background1"/>
          <w:sz w:val="16"/>
          <w:szCs w:val="16"/>
        </w:rPr>
        <w:lastRenderedPageBreak/>
        <mc:AlternateContent>
          <mc:Choice Requires="wps">
            <w:drawing>
              <wp:anchor distT="0" distB="0" distL="114300" distR="114300" simplePos="0" relativeHeight="251658259" behindDoc="1" locked="0" layoutInCell="1" allowOverlap="1" wp14:anchorId="0015AC75" wp14:editId="13E21940">
                <wp:simplePos x="0" y="0"/>
                <wp:positionH relativeFrom="page">
                  <wp:align>right</wp:align>
                </wp:positionH>
                <wp:positionV relativeFrom="paragraph">
                  <wp:posOffset>-902208</wp:posOffset>
                </wp:positionV>
                <wp:extent cx="7741920" cy="10668026"/>
                <wp:effectExtent l="0" t="0" r="11430" b="19050"/>
                <wp:wrapNone/>
                <wp:docPr id="21" name="Rectangle 21"/>
                <wp:cNvGraphicFramePr/>
                <a:graphic xmlns:a="http://schemas.openxmlformats.org/drawingml/2006/main">
                  <a:graphicData uri="http://schemas.microsoft.com/office/word/2010/wordprocessingShape">
                    <wps:wsp>
                      <wps:cNvSpPr/>
                      <wps:spPr>
                        <a:xfrm>
                          <a:off x="0" y="0"/>
                          <a:ext cx="7741920" cy="10668026"/>
                        </a:xfrm>
                        <a:prstGeom prst="rect">
                          <a:avLst/>
                        </a:prstGeom>
                        <a:solidFill>
                          <a:srgbClr val="20154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0A2C53C" id="Rectangle 21" o:spid="_x0000_s1026" style="position:absolute;margin-left:558.4pt;margin-top:-71.05pt;width:609.6pt;height:840pt;z-index:-25165822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" fillcolor="#201547" strokecolor="#1b383a [1604]" strokeweight="1pt">
                <w10:wrap anchorx="page"/>
              </v:rect>
            </w:pict>
          </mc:Fallback>
        </mc:AlternateContent>
      </w:r>
    </w:p>
    <w:p w14:paraId="3A45200E" w14:textId="43FF9D5A" w:rsidR="00324170" w:rsidRDefault="00324170" w:rsidP="00324170">
      <w:pPr>
        <w:pStyle w:val="Heading2-report"/>
      </w:pPr>
      <w:r>
        <w:rPr>
          <w:b w:val="0"/>
          <w:bCs w:val="0"/>
          <w:noProof/>
          <w:sz w:val="26"/>
          <w:szCs w:val="26"/>
        </w:rPr>
        <w:drawing>
          <wp:anchor distT="0" distB="0" distL="114300" distR="114300" simplePos="0" relativeHeight="251658250" behindDoc="0" locked="0" layoutInCell="1" allowOverlap="1" wp14:anchorId="3CF5177C" wp14:editId="04545B8D">
            <wp:simplePos x="0" y="0"/>
            <wp:positionH relativeFrom="margin">
              <wp:posOffset>-159026</wp:posOffset>
            </wp:positionH>
            <wp:positionV relativeFrom="paragraph">
              <wp:posOffset>-492456</wp:posOffset>
            </wp:positionV>
            <wp:extent cx="914400" cy="914400"/>
            <wp:effectExtent l="0" t="0" r="0" b="0"/>
            <wp:wrapNone/>
            <wp:docPr id="36" name="Graphic 36"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Raised hand with solid fill"/>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914400" cy="914400"/>
                    </a:xfrm>
                    <a:prstGeom prst="rect">
                      <a:avLst/>
                    </a:prstGeom>
                  </pic:spPr>
                </pic:pic>
              </a:graphicData>
            </a:graphic>
          </wp:anchor>
        </w:drawing>
      </w:r>
    </w:p>
    <w:p w14:paraId="3AD44EC6" w14:textId="17D033EC" w:rsidR="00324170" w:rsidRDefault="001C32D7" w:rsidP="00324170">
      <w:pPr>
        <w:pStyle w:val="Heading2-report"/>
        <w:rPr>
          <w:color w:val="FFFFFF" w:themeColor="background1"/>
          <w:sz w:val="72"/>
          <w:szCs w:val="72"/>
        </w:rPr>
      </w:pPr>
      <w:r>
        <w:rPr>
          <w:color w:val="FFFFFF" w:themeColor="background1"/>
          <w:sz w:val="72"/>
          <w:szCs w:val="72"/>
        </w:rPr>
        <w:t xml:space="preserve">EQUALITY AND THE RIGHTS OF PEOPLE WHO USE </w:t>
      </w:r>
      <w:r w:rsidR="008F085F">
        <w:rPr>
          <w:color w:val="FFFFFF" w:themeColor="background1"/>
          <w:sz w:val="72"/>
          <w:szCs w:val="72"/>
        </w:rPr>
        <w:t>ALCOHOL AND</w:t>
      </w:r>
      <w:r w:rsidR="0063757E">
        <w:rPr>
          <w:color w:val="FFFFFF" w:themeColor="background1"/>
          <w:sz w:val="72"/>
          <w:szCs w:val="72"/>
        </w:rPr>
        <w:t xml:space="preserve"> </w:t>
      </w:r>
      <w:r>
        <w:rPr>
          <w:color w:val="FFFFFF" w:themeColor="background1"/>
          <w:sz w:val="72"/>
          <w:szCs w:val="72"/>
        </w:rPr>
        <w:t>DRUGS</w:t>
      </w:r>
    </w:p>
    <w:p w14:paraId="6D27763B" w14:textId="77777777" w:rsidR="00C568FC" w:rsidRPr="00C568FC" w:rsidRDefault="0063757E" w:rsidP="0063757E">
      <w:pPr>
        <w:rPr>
          <w:b/>
          <w:bCs/>
          <w:color w:val="FFFFFF" w:themeColor="background1"/>
          <w:sz w:val="26"/>
          <w:szCs w:val="26"/>
        </w:rPr>
      </w:pPr>
      <w:r w:rsidRPr="00C568FC">
        <w:rPr>
          <w:b/>
          <w:bCs/>
          <w:color w:val="FFFFFF" w:themeColor="background1"/>
          <w:sz w:val="26"/>
          <w:szCs w:val="26"/>
        </w:rPr>
        <w:t>PEOPLE WHO IDENTIFY AS HAVING ‘SUBSTANCE USE</w:t>
      </w:r>
      <w:r w:rsidR="00726063" w:rsidRPr="00C568FC">
        <w:rPr>
          <w:b/>
          <w:bCs/>
          <w:color w:val="FFFFFF" w:themeColor="background1"/>
          <w:sz w:val="26"/>
          <w:szCs w:val="26"/>
        </w:rPr>
        <w:t xml:space="preserve"> DISORDER’ HAVE </w:t>
      </w:r>
      <w:r w:rsidR="00C568FC" w:rsidRPr="00C568FC">
        <w:rPr>
          <w:b/>
          <w:bCs/>
          <w:color w:val="FFFFFF" w:themeColor="background1"/>
          <w:sz w:val="26"/>
          <w:szCs w:val="26"/>
        </w:rPr>
        <w:t>EQUALITY RIGHTS.</w:t>
      </w:r>
    </w:p>
    <w:p w14:paraId="07284A1F" w14:textId="4A73B1CE" w:rsidR="00E85745" w:rsidRDefault="00C568FC" w:rsidP="0063757E">
      <w:pPr>
        <w:rPr>
          <w:color w:val="FFFFFF" w:themeColor="background1"/>
        </w:rPr>
      </w:pPr>
      <w:r w:rsidRPr="00C568FC">
        <w:rPr>
          <w:color w:val="FFFFFF" w:themeColor="background1"/>
        </w:rPr>
        <w:t xml:space="preserve">Equality rights are run in tandem with rights against discrimination under the </w:t>
      </w:r>
      <w:r w:rsidR="004B7ADC">
        <w:rPr>
          <w:color w:val="FFFFFF" w:themeColor="background1"/>
        </w:rPr>
        <w:t xml:space="preserve">Equal Opportunity Act. The Equal Opportunity Act </w:t>
      </w:r>
      <w:r w:rsidR="00E95B18">
        <w:rPr>
          <w:color w:val="FFFFFF" w:themeColor="background1"/>
        </w:rPr>
        <w:t>protec</w:t>
      </w:r>
      <w:r w:rsidR="00F64270">
        <w:rPr>
          <w:color w:val="FFFFFF" w:themeColor="background1"/>
        </w:rPr>
        <w:t>ts people with a disability, including people with a ‘mental or psychological disease or disorder’</w:t>
      </w:r>
      <w:r w:rsidR="00F64270" w:rsidRPr="00DF70D5">
        <w:rPr>
          <w:color w:val="FFFFFF" w:themeColor="background1"/>
        </w:rPr>
        <w:t>.</w:t>
      </w:r>
      <w:r w:rsidR="00F64270" w:rsidRPr="00846071">
        <w:rPr>
          <w:rStyle w:val="FootnoteReference"/>
          <w:color w:val="FFFFFF" w:themeColor="background1"/>
        </w:rPr>
        <w:footnoteReference w:id="25"/>
      </w:r>
      <w:r w:rsidR="00DF744C" w:rsidRPr="00DF70D5">
        <w:rPr>
          <w:color w:val="FFFFFF" w:themeColor="background1"/>
        </w:rPr>
        <w:t xml:space="preserve"> This </w:t>
      </w:r>
      <w:r w:rsidR="00DF744C">
        <w:rPr>
          <w:color w:val="FFFFFF" w:themeColor="background1"/>
        </w:rPr>
        <w:t xml:space="preserve">includes individuals </w:t>
      </w:r>
      <w:r w:rsidR="000739E6">
        <w:rPr>
          <w:color w:val="FFFFFF" w:themeColor="background1"/>
        </w:rPr>
        <w:t>diagnosed or who identify as having</w:t>
      </w:r>
      <w:r w:rsidR="00FE1A8C">
        <w:rPr>
          <w:color w:val="FFFFFF" w:themeColor="background1"/>
        </w:rPr>
        <w:t xml:space="preserve"> one of a number of</w:t>
      </w:r>
      <w:r w:rsidR="000739E6">
        <w:rPr>
          <w:color w:val="FFFFFF" w:themeColor="background1"/>
        </w:rPr>
        <w:t xml:space="preserve"> ‘substance use disorder</w:t>
      </w:r>
      <w:r w:rsidR="00FE1A8C">
        <w:rPr>
          <w:color w:val="FFFFFF" w:themeColor="background1"/>
        </w:rPr>
        <w:t>s</w:t>
      </w:r>
      <w:r w:rsidR="000739E6">
        <w:rPr>
          <w:color w:val="FFFFFF" w:themeColor="background1"/>
        </w:rPr>
        <w:t>’</w:t>
      </w:r>
      <w:r w:rsidR="000739E6" w:rsidRPr="00DF70D5">
        <w:rPr>
          <w:color w:val="FFFFFF" w:themeColor="background1"/>
        </w:rPr>
        <w:t>.</w:t>
      </w:r>
      <w:r w:rsidR="001C0D56" w:rsidRPr="00846071">
        <w:rPr>
          <w:rStyle w:val="FootnoteReference"/>
          <w:color w:val="FFFFFF" w:themeColor="background1"/>
        </w:rPr>
        <w:footnoteReference w:id="26"/>
      </w:r>
      <w:r w:rsidR="001C0D56" w:rsidRPr="00DF70D5">
        <w:rPr>
          <w:color w:val="FFFFFF" w:themeColor="background1"/>
        </w:rPr>
        <w:t xml:space="preserve"> </w:t>
      </w:r>
      <w:r w:rsidR="00E85745" w:rsidRPr="00DF70D5">
        <w:rPr>
          <w:color w:val="FFFFFF" w:themeColor="background1"/>
        </w:rPr>
        <w:t xml:space="preserve">This </w:t>
      </w:r>
      <w:r w:rsidR="00E85745">
        <w:rPr>
          <w:color w:val="FFFFFF" w:themeColor="background1"/>
        </w:rPr>
        <w:t xml:space="preserve">means that people who use alcohol or drugs and </w:t>
      </w:r>
      <w:r w:rsidR="00403CC9">
        <w:rPr>
          <w:color w:val="FFFFFF" w:themeColor="background1"/>
        </w:rPr>
        <w:t xml:space="preserve">who identify as having this diagnosis should not get a lower standard of care, or </w:t>
      </w:r>
      <w:r w:rsidR="00574A5F">
        <w:rPr>
          <w:color w:val="FFFFFF" w:themeColor="background1"/>
        </w:rPr>
        <w:t xml:space="preserve">be disadvantaged in their </w:t>
      </w:r>
      <w:r w:rsidR="00403CC9">
        <w:rPr>
          <w:color w:val="FFFFFF" w:themeColor="background1"/>
        </w:rPr>
        <w:t xml:space="preserve">access to care, </w:t>
      </w:r>
      <w:r w:rsidR="006042BE">
        <w:rPr>
          <w:color w:val="FFFFFF" w:themeColor="background1"/>
        </w:rPr>
        <w:t>because of</w:t>
      </w:r>
      <w:r w:rsidR="00403CC9">
        <w:rPr>
          <w:color w:val="FFFFFF" w:themeColor="background1"/>
        </w:rPr>
        <w:t xml:space="preserve"> that diagnosis. </w:t>
      </w:r>
    </w:p>
    <w:p w14:paraId="370F04E2" w14:textId="7B19AC5C" w:rsidR="00403CC9" w:rsidRPr="00AD28DA" w:rsidRDefault="00403CC9" w:rsidP="0063757E">
      <w:pPr>
        <w:rPr>
          <w:color w:val="FFFFFF" w:themeColor="background1"/>
        </w:rPr>
      </w:pPr>
      <w:r>
        <w:rPr>
          <w:color w:val="FFFFFF" w:themeColor="background1"/>
        </w:rPr>
        <w:t xml:space="preserve">There are several ways that </w:t>
      </w:r>
      <w:r w:rsidR="00CB4845">
        <w:rPr>
          <w:color w:val="FFFFFF" w:themeColor="background1"/>
        </w:rPr>
        <w:t>people who use drugs may have this right violated. These incl</w:t>
      </w:r>
      <w:r w:rsidR="00CB4845" w:rsidRPr="00AD28DA">
        <w:rPr>
          <w:color w:val="FFFFFF" w:themeColor="background1"/>
        </w:rPr>
        <w:t>ude:</w:t>
      </w:r>
    </w:p>
    <w:p w14:paraId="25DB9A98" w14:textId="03D2759A" w:rsidR="00614D71" w:rsidRDefault="6D69D0D5" w:rsidP="00452286">
      <w:pPr>
        <w:pStyle w:val="ListBullet"/>
        <w:rPr>
          <w:color w:val="FFFFFF" w:themeColor="background1"/>
        </w:rPr>
      </w:pPr>
      <w:r w:rsidRPr="6D69D0D5">
        <w:rPr>
          <w:color w:val="FFFFFF" w:themeColor="background1"/>
        </w:rPr>
        <w:t>being unreasonably excluded from mental health care based on a previous or current drug and alcohol use, even when they require mental health support</w:t>
      </w:r>
    </w:p>
    <w:p w14:paraId="25666121" w14:textId="3BF64A98" w:rsidR="00452286" w:rsidRPr="007F06AA" w:rsidRDefault="6D69D0D5" w:rsidP="00452286">
      <w:pPr>
        <w:pStyle w:val="ListBullet"/>
        <w:rPr>
          <w:color w:val="FFFFFF" w:themeColor="background1"/>
        </w:rPr>
      </w:pPr>
      <w:r w:rsidRPr="6D69D0D5">
        <w:rPr>
          <w:color w:val="FFFFFF" w:themeColor="background1"/>
        </w:rPr>
        <w:t>not providing recovery-oriented care that meets the person’s personal preferences</w:t>
      </w:r>
    </w:p>
    <w:p w14:paraId="522EBB61" w14:textId="1F378119" w:rsidR="007120ED" w:rsidRPr="007F06AA" w:rsidRDefault="6D69D0D5" w:rsidP="00452286">
      <w:pPr>
        <w:pStyle w:val="ListBullet"/>
        <w:rPr>
          <w:color w:val="FFFFFF" w:themeColor="background1"/>
        </w:rPr>
      </w:pPr>
      <w:r w:rsidRPr="6D69D0D5">
        <w:rPr>
          <w:color w:val="FFFFFF" w:themeColor="background1"/>
        </w:rPr>
        <w:t>not being given adequate support within a mental health service when they are withdrawing from alcohol or drugs</w:t>
      </w:r>
    </w:p>
    <w:p w14:paraId="40753957" w14:textId="5EC3A522" w:rsidR="00304383" w:rsidRDefault="6D69D0D5" w:rsidP="00AD28DA">
      <w:pPr>
        <w:pStyle w:val="ListBullet"/>
        <w:rPr>
          <w:color w:val="FFFFFF" w:themeColor="background1"/>
        </w:rPr>
      </w:pPr>
      <w:r w:rsidRPr="6D69D0D5">
        <w:rPr>
          <w:color w:val="FFFFFF" w:themeColor="background1"/>
        </w:rPr>
        <w:t>not being provided certain medications because of stigma or other unreasonable decisions rather than based on reasonable</w:t>
      </w:r>
    </w:p>
    <w:p w14:paraId="2E4804B5" w14:textId="0BB40822" w:rsidR="00AD28DA" w:rsidRDefault="00C744BF" w:rsidP="001148AF">
      <w:pPr>
        <w:pStyle w:val="ListBullet"/>
        <w:rPr>
          <w:color w:val="FFFFFF" w:themeColor="background1"/>
        </w:rPr>
      </w:pPr>
      <w:r>
        <w:rPr>
          <w:color w:val="FFFFFF" w:themeColor="background1"/>
        </w:rPr>
        <w:t>rigid processes, such as drug-dispensing</w:t>
      </w:r>
      <w:r w:rsidR="00730836">
        <w:rPr>
          <w:color w:val="FFFFFF" w:themeColor="background1"/>
        </w:rPr>
        <w:t xml:space="preserve"> processes that do not work over weekends or public holidays</w:t>
      </w:r>
      <w:r>
        <w:rPr>
          <w:color w:val="FFFFFF" w:themeColor="background1"/>
        </w:rPr>
        <w:t>, that may disadvantage some people who use drugs</w:t>
      </w:r>
      <w:r w:rsidR="00730836" w:rsidRPr="00DF70D5">
        <w:rPr>
          <w:color w:val="FFFFFF" w:themeColor="background1"/>
        </w:rPr>
        <w:t>.</w:t>
      </w:r>
      <w:r w:rsidR="00730836" w:rsidRPr="007D6A00">
        <w:rPr>
          <w:rStyle w:val="FootnoteReference"/>
          <w:color w:val="FFFFFF" w:themeColor="background1"/>
        </w:rPr>
        <w:footnoteReference w:id="27"/>
      </w:r>
    </w:p>
    <w:p w14:paraId="4420903E" w14:textId="73BF3CF1" w:rsidR="001148AF" w:rsidRPr="001148AF" w:rsidRDefault="6D69D0D5" w:rsidP="001148AF">
      <w:r w:rsidRPr="6D69D0D5">
        <w:rPr>
          <w:color w:val="FFFFFF" w:themeColor="background1"/>
        </w:rPr>
        <w:t>For Division staff, they should consider how the decisions they make today (or don’t make) can impact on the care of someone that uses alcohol or drugs tomorrow. This may have implications for funding agreements, models of care, prescribing processes or directions on opening times for services.</w:t>
      </w:r>
    </w:p>
    <w:p w14:paraId="0D348280" w14:textId="77777777" w:rsidR="00B304A6" w:rsidRDefault="00B304A6">
      <w:pPr>
        <w:rPr>
          <w:color w:val="FFFFFF" w:themeColor="background1"/>
          <w:sz w:val="40"/>
          <w:szCs w:val="40"/>
        </w:rPr>
        <w:sectPr w:rsidR="00B304A6" w:rsidSect="00602499">
          <w:type w:val="continuous"/>
          <w:pgSz w:w="11906" w:h="16838"/>
          <w:pgMar w:top="1440" w:right="1418" w:bottom="1440" w:left="1418" w:header="708" w:footer="708" w:gutter="0"/>
          <w:cols w:space="708"/>
          <w:titlePg/>
          <w:docGrid w:linePitch="360"/>
        </w:sectPr>
      </w:pPr>
    </w:p>
    <w:p w14:paraId="6DC06BC6" w14:textId="12C7E574" w:rsidR="00341039" w:rsidRDefault="00341039" w:rsidP="00A66925">
      <w:pPr>
        <w:pStyle w:val="Heading1-report"/>
        <w:spacing w:before="0"/>
      </w:pPr>
      <w:r>
        <w:rPr>
          <w:noProof/>
        </w:rPr>
        <w:lastRenderedPageBreak/>
        <mc:AlternateContent>
          <mc:Choice Requires="wps">
            <w:drawing>
              <wp:anchor distT="0" distB="0" distL="114300" distR="114300" simplePos="0" relativeHeight="251658240" behindDoc="1" locked="0" layoutInCell="1" allowOverlap="1" wp14:anchorId="417A6AF4" wp14:editId="1BA427D8">
                <wp:simplePos x="0" y="0"/>
                <wp:positionH relativeFrom="page">
                  <wp:align>left</wp:align>
                </wp:positionH>
                <wp:positionV relativeFrom="paragraph">
                  <wp:posOffset>-901811</wp:posOffset>
                </wp:positionV>
                <wp:extent cx="10693593" cy="7839456"/>
                <wp:effectExtent l="0" t="0" r="12700" b="28575"/>
                <wp:wrapNone/>
                <wp:docPr id="37" name="Rectangle 37"/>
                <wp:cNvGraphicFramePr/>
                <a:graphic xmlns:a="http://schemas.openxmlformats.org/drawingml/2006/main">
                  <a:graphicData uri="http://schemas.microsoft.com/office/word/2010/wordprocessingShape">
                    <wps:wsp>
                      <wps:cNvSpPr/>
                      <wps:spPr>
                        <a:xfrm>
                          <a:off x="0" y="0"/>
                          <a:ext cx="10693593" cy="7839456"/>
                        </a:xfrm>
                        <a:prstGeom prst="rect">
                          <a:avLst/>
                        </a:prstGeom>
                        <a:solidFill>
                          <a:srgbClr val="D0E8E9"/>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3A62A3" w14:textId="77777777" w:rsidR="00341039" w:rsidRDefault="00341039" w:rsidP="003410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A6AF4" id="Rectangle 37" o:spid="_x0000_s1029" style="position:absolute;margin-left:0;margin-top:-71pt;width:842pt;height:617.3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" fillcolor="#d0e8e9" strokecolor="#1b383a [1604]" strokeweight="1pt">
                <v:textbox>
                  <w:txbxContent>
                    <w:p w14:paraId="123A62A3" w14:textId="77777777" w:rsidR="00341039" w:rsidRDefault="00341039" w:rsidP="00341039">
                      <w:pPr>
                        <w:jc w:val="center"/>
                      </w:pPr>
                    </w:p>
                  </w:txbxContent>
                </v:textbox>
                <w10:wrap anchorx="page"/>
              </v:rect>
            </w:pict>
          </mc:Fallback>
        </mc:AlternateContent>
      </w:r>
      <w:r w:rsidR="00A811F0">
        <w:t>TAKE-HOMES: EQUALITY</w:t>
      </w:r>
    </w:p>
    <w:tbl>
      <w:tblPr>
        <w:tblStyle w:val="TableGridLight"/>
        <w:tblW w:w="15446" w:type="dxa"/>
        <w:tblCellMar>
          <w:bottom w:w="284" w:type="dxa"/>
        </w:tblCellMar>
        <w:tblLook w:val="04A0" w:firstRow="1" w:lastRow="0" w:firstColumn="1" w:lastColumn="0" w:noHBand="0" w:noVBand="1"/>
      </w:tblPr>
      <w:tblGrid>
        <w:gridCol w:w="1056"/>
        <w:gridCol w:w="5835"/>
        <w:gridCol w:w="1056"/>
        <w:gridCol w:w="7499"/>
      </w:tblGrid>
      <w:tr w:rsidR="008274CA" w14:paraId="3201F0C9" w14:textId="62C867E8" w:rsidTr="6D69D0D5">
        <w:tc>
          <w:tcPr>
            <w:tcW w:w="1056" w:type="dxa"/>
          </w:tcPr>
          <w:p w14:paraId="7600DD07" w14:textId="0394C51F" w:rsidR="00DD40C1" w:rsidRDefault="00DD40C1" w:rsidP="00DD40C1">
            <w:r>
              <w:rPr>
                <w:noProof/>
              </w:rPr>
              <w:drawing>
                <wp:inline distT="0" distB="0" distL="0" distR="0" wp14:anchorId="74184D17" wp14:editId="2DC60830">
                  <wp:extent cx="526774" cy="526774"/>
                  <wp:effectExtent l="0" t="0" r="6985" b="6985"/>
                  <wp:docPr id="45" name="Graphic 45"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6165" w:type="dxa"/>
          </w:tcPr>
          <w:p w14:paraId="63E1D419" w14:textId="59B1C51D" w:rsidR="00DD40C1" w:rsidRDefault="18326E23" w:rsidP="00486502">
            <w:pPr>
              <w:pStyle w:val="Heading3-report"/>
            </w:pPr>
            <w:r>
              <w:t xml:space="preserve">Set policies and commission services that promote equal </w:t>
            </w:r>
            <w:r w:rsidRPr="18326E23">
              <w:rPr>
                <w:i/>
                <w:iCs/>
              </w:rPr>
              <w:t>access</w:t>
            </w:r>
            <w:r>
              <w:t xml:space="preserve"> and </w:t>
            </w:r>
            <w:r w:rsidRPr="18326E23">
              <w:rPr>
                <w:i/>
                <w:iCs/>
              </w:rPr>
              <w:t>standards</w:t>
            </w:r>
            <w:r>
              <w:t xml:space="preserve"> of care</w:t>
            </w:r>
          </w:p>
          <w:p w14:paraId="1A2C5692" w14:textId="62FEBF96" w:rsidR="00A04321" w:rsidRPr="007A1180" w:rsidRDefault="6D69D0D5" w:rsidP="6D69D0D5">
            <w:pPr>
              <w:rPr>
                <w:sz w:val="22"/>
              </w:rPr>
            </w:pPr>
            <w:r w:rsidRPr="6D69D0D5">
              <w:rPr>
                <w:sz w:val="22"/>
              </w:rPr>
              <w:t xml:space="preserve">When developing policies for or commissioning new or existing services – including funding agreements, program logics, service specifications and design principles, outcomes and processes – be sure to consider how </w:t>
            </w:r>
            <w:r w:rsidRPr="6D69D0D5">
              <w:rPr>
                <w:i/>
                <w:iCs/>
                <w:sz w:val="22"/>
              </w:rPr>
              <w:t>all</w:t>
            </w:r>
            <w:r w:rsidRPr="6D69D0D5">
              <w:rPr>
                <w:sz w:val="22"/>
              </w:rPr>
              <w:t xml:space="preserve"> Victorians can get equal access to, and quality of, care, treatment and support. Also consider the measures and accountabilities you put in place to ensure that your policy and funding approaches are driving equality in practice.</w:t>
            </w:r>
          </w:p>
        </w:tc>
        <w:tc>
          <w:tcPr>
            <w:tcW w:w="251" w:type="dxa"/>
          </w:tcPr>
          <w:p w14:paraId="3D4725BE" w14:textId="26961051" w:rsidR="00DD40C1" w:rsidRDefault="00DD40C1" w:rsidP="00DD40C1">
            <w:r>
              <w:rPr>
                <w:noProof/>
              </w:rPr>
              <w:drawing>
                <wp:inline distT="0" distB="0" distL="0" distR="0" wp14:anchorId="65FCCD56" wp14:editId="5646DD06">
                  <wp:extent cx="526774" cy="526774"/>
                  <wp:effectExtent l="0" t="0" r="6985" b="6985"/>
                  <wp:docPr id="53" name="Graphic 53"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7974" w:type="dxa"/>
          </w:tcPr>
          <w:p w14:paraId="2B1D6B76" w14:textId="77777777" w:rsidR="00DD40C1" w:rsidRDefault="00861362" w:rsidP="00486502">
            <w:pPr>
              <w:pStyle w:val="Heading3-report"/>
            </w:pPr>
            <w:r>
              <w:t>Promote the Equal Opportunity Act</w:t>
            </w:r>
          </w:p>
          <w:p w14:paraId="6D7FCA87" w14:textId="58F6C601" w:rsidR="00861362" w:rsidRPr="00861362" w:rsidRDefault="6D69D0D5" w:rsidP="00311165">
            <w:r w:rsidRPr="6D69D0D5">
              <w:rPr>
                <w:sz w:val="22"/>
              </w:rPr>
              <w:t xml:space="preserve">In your work with services, you should support them to understand their duties under the Equal Opportunity Act. You should ensure that service providers understand direct discrimination and indirect discrimination and their positive duty to take active steps to prevent discrimination. You should ensure that they understand all of the communities and parts of people’s identity that are protected under the Equal Opportunity Act and that they act to ensure that their workplaces and services are safe and accessible for Victoria’s diverse population. </w:t>
            </w:r>
          </w:p>
        </w:tc>
      </w:tr>
      <w:tr w:rsidR="008274CA" w14:paraId="23E80A19" w14:textId="3B6278D6" w:rsidTr="6D69D0D5">
        <w:tc>
          <w:tcPr>
            <w:tcW w:w="1056" w:type="dxa"/>
            <w:shd w:val="clear" w:color="auto" w:fill="auto"/>
          </w:tcPr>
          <w:p w14:paraId="0F7F2F61" w14:textId="360A7951" w:rsidR="00DD40C1" w:rsidRDefault="00DD40C1" w:rsidP="00DD40C1">
            <w:r>
              <w:rPr>
                <w:noProof/>
              </w:rPr>
              <w:drawing>
                <wp:inline distT="0" distB="0" distL="0" distR="0" wp14:anchorId="4ADCD950" wp14:editId="4F0F3EE2">
                  <wp:extent cx="526774" cy="526774"/>
                  <wp:effectExtent l="0" t="0" r="6985" b="6985"/>
                  <wp:docPr id="47" name="Graphic 47"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6165" w:type="dxa"/>
          </w:tcPr>
          <w:p w14:paraId="653B15C4" w14:textId="0126E59B" w:rsidR="00DD40C1" w:rsidRDefault="0039335A" w:rsidP="00486502">
            <w:pPr>
              <w:pStyle w:val="Heading3-report"/>
            </w:pPr>
            <w:r>
              <w:t xml:space="preserve">Provide </w:t>
            </w:r>
            <w:r w:rsidR="008274CA">
              <w:t>instructions to services on discrimination</w:t>
            </w:r>
            <w:r w:rsidR="00DD12F4">
              <w:t xml:space="preserve"> and equality</w:t>
            </w:r>
          </w:p>
          <w:p w14:paraId="1D496658" w14:textId="269E6B1E" w:rsidR="00F23976" w:rsidRPr="008274CA" w:rsidRDefault="0ECF3B96" w:rsidP="008274CA">
            <w:r w:rsidRPr="0ECF3B96">
              <w:rPr>
                <w:sz w:val="22"/>
              </w:rPr>
              <w:t>The Division could provide</w:t>
            </w:r>
            <w:r w:rsidR="6D69D0D5" w:rsidRPr="6D69D0D5">
              <w:rPr>
                <w:sz w:val="22"/>
              </w:rPr>
              <w:t xml:space="preserve"> instructions – through law, policy, advice and dialogue – about how service provider</w:t>
            </w:r>
            <w:r w:rsidR="005014A8">
              <w:rPr>
                <w:sz w:val="22"/>
              </w:rPr>
              <w:t>s</w:t>
            </w:r>
            <w:r w:rsidR="6D69D0D5" w:rsidRPr="6D69D0D5">
              <w:rPr>
                <w:sz w:val="22"/>
              </w:rPr>
              <w:t xml:space="preserve"> must ensure their services and workplaces are free of discrimination. This can include instructions on service eligibility requirements, assessment processes, available treatments, reviews staffing mixes, complaints processes and infrastructure. </w:t>
            </w:r>
          </w:p>
        </w:tc>
        <w:tc>
          <w:tcPr>
            <w:tcW w:w="251" w:type="dxa"/>
          </w:tcPr>
          <w:p w14:paraId="4BC26B01" w14:textId="74DF5527" w:rsidR="00DD40C1" w:rsidRDefault="00DD40C1" w:rsidP="00DD40C1">
            <w:r>
              <w:rPr>
                <w:noProof/>
              </w:rPr>
              <w:drawing>
                <wp:inline distT="0" distB="0" distL="0" distR="0" wp14:anchorId="36D2AE22" wp14:editId="5185452D">
                  <wp:extent cx="530705" cy="530705"/>
                  <wp:effectExtent l="0" t="0" r="3175" b="3175"/>
                  <wp:docPr id="58" name="Graphic 58" descr="Badge Cro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Badge Cross with solid fill"/>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30705" cy="530705"/>
                          </a:xfrm>
                          <a:prstGeom prst="rect">
                            <a:avLst/>
                          </a:prstGeom>
                        </pic:spPr>
                      </pic:pic>
                    </a:graphicData>
                  </a:graphic>
                </wp:inline>
              </w:drawing>
            </w:r>
          </w:p>
        </w:tc>
        <w:tc>
          <w:tcPr>
            <w:tcW w:w="7974" w:type="dxa"/>
          </w:tcPr>
          <w:p w14:paraId="5F270EA6" w14:textId="1FD1B386" w:rsidR="00DD40C1" w:rsidRDefault="000F060C" w:rsidP="00486502">
            <w:pPr>
              <w:pStyle w:val="Heading3-report"/>
            </w:pPr>
            <w:r>
              <w:t>Neutrality is not equality</w:t>
            </w:r>
          </w:p>
          <w:p w14:paraId="7C8FE737" w14:textId="71987DBA" w:rsidR="000F060C" w:rsidRPr="00796694" w:rsidRDefault="18326E23" w:rsidP="000F060C">
            <w:r w:rsidRPr="000279F8">
              <w:rPr>
                <w:sz w:val="22"/>
                <w:szCs w:val="20"/>
              </w:rPr>
              <w:t>Don’t assume that because your policy or decision doesn’t have overt or direct discrimination in it, that it can’t be indirectly discriminatory. Policies that appear neutral but disadvantage someone based on their mental health, disability, gender, sexuality, race, religion, carer status or other protected attribute may still be discriminatory. You need to take positive steps to address these inequalities.</w:t>
            </w:r>
          </w:p>
        </w:tc>
      </w:tr>
      <w:tr w:rsidR="00486502" w14:paraId="37A4509E" w14:textId="77777777" w:rsidTr="6D69D0D5">
        <w:tc>
          <w:tcPr>
            <w:tcW w:w="1056" w:type="dxa"/>
            <w:shd w:val="clear" w:color="auto" w:fill="auto"/>
          </w:tcPr>
          <w:p w14:paraId="39FF0FCD" w14:textId="5CFFBA84" w:rsidR="00486502" w:rsidRDefault="00486502" w:rsidP="00DD40C1">
            <w:pPr>
              <w:rPr>
                <w:noProof/>
              </w:rPr>
            </w:pPr>
            <w:r>
              <w:rPr>
                <w:noProof/>
              </w:rPr>
              <w:drawing>
                <wp:inline distT="0" distB="0" distL="0" distR="0" wp14:anchorId="59A34CAB" wp14:editId="68C1197B">
                  <wp:extent cx="526774" cy="526774"/>
                  <wp:effectExtent l="0" t="0" r="6985" b="6985"/>
                  <wp:docPr id="192" name="Graphic 192"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6165" w:type="dxa"/>
          </w:tcPr>
          <w:p w14:paraId="1C9D980D" w14:textId="77777777" w:rsidR="00486502" w:rsidRDefault="00486502" w:rsidP="00486502">
            <w:pPr>
              <w:pStyle w:val="Heading3-report"/>
            </w:pPr>
            <w:r>
              <w:t>Consider staff, consumers and families, carers and supporters</w:t>
            </w:r>
          </w:p>
          <w:p w14:paraId="090DFD4C" w14:textId="1B6E59B6" w:rsidR="00486502" w:rsidRPr="00894AE4" w:rsidRDefault="18326E23" w:rsidP="00486502">
            <w:r w:rsidRPr="000279F8">
              <w:rPr>
                <w:sz w:val="22"/>
                <w:szCs w:val="20"/>
              </w:rPr>
              <w:t xml:space="preserve">Ensure that your policies and policies of mental health and wellbeing services enshrine </w:t>
            </w:r>
            <w:r w:rsidR="000A697D">
              <w:rPr>
                <w:sz w:val="22"/>
                <w:szCs w:val="20"/>
              </w:rPr>
              <w:t>equality</w:t>
            </w:r>
            <w:r w:rsidRPr="000279F8">
              <w:rPr>
                <w:sz w:val="22"/>
                <w:szCs w:val="20"/>
              </w:rPr>
              <w:t xml:space="preserve"> for staff, consumers, as well as families, carers and supporters. </w:t>
            </w:r>
            <w:r w:rsidR="000A697D">
              <w:rPr>
                <w:sz w:val="22"/>
                <w:szCs w:val="20"/>
              </w:rPr>
              <w:t xml:space="preserve">This shouldn’t prevent policy decisions prioritising the views of consumers where they are closest to the problem being addressed. </w:t>
            </w:r>
          </w:p>
        </w:tc>
        <w:tc>
          <w:tcPr>
            <w:tcW w:w="251" w:type="dxa"/>
          </w:tcPr>
          <w:p w14:paraId="78BB0D92" w14:textId="088A60AC" w:rsidR="00486502" w:rsidRDefault="00D66215" w:rsidP="00DD40C1">
            <w:pPr>
              <w:rPr>
                <w:noProof/>
              </w:rPr>
            </w:pPr>
            <w:r>
              <w:rPr>
                <w:noProof/>
              </w:rPr>
              <w:drawing>
                <wp:inline distT="0" distB="0" distL="0" distR="0" wp14:anchorId="3FAB5D42" wp14:editId="2C257E5A">
                  <wp:extent cx="530705" cy="530705"/>
                  <wp:effectExtent l="0" t="0" r="3175" b="3175"/>
                  <wp:docPr id="194" name="Graphic 194" descr="Badge Cro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Badge Cross with solid fill"/>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30705" cy="530705"/>
                          </a:xfrm>
                          <a:prstGeom prst="rect">
                            <a:avLst/>
                          </a:prstGeom>
                        </pic:spPr>
                      </pic:pic>
                    </a:graphicData>
                  </a:graphic>
                </wp:inline>
              </w:drawing>
            </w:r>
          </w:p>
        </w:tc>
        <w:tc>
          <w:tcPr>
            <w:tcW w:w="7974" w:type="dxa"/>
          </w:tcPr>
          <w:p w14:paraId="4B073646" w14:textId="296C49C9" w:rsidR="00486502" w:rsidRDefault="18326E23" w:rsidP="00486502">
            <w:pPr>
              <w:pStyle w:val="Heading3-report"/>
            </w:pPr>
            <w:r>
              <w:t>Don’t develop policies that unreasonably limit the right to equality</w:t>
            </w:r>
          </w:p>
          <w:p w14:paraId="3B048663" w14:textId="47786F26" w:rsidR="008D71D6" w:rsidRPr="00850438" w:rsidRDefault="18326E23" w:rsidP="00D66215">
            <w:pPr>
              <w:rPr>
                <w:sz w:val="22"/>
                <w:szCs w:val="20"/>
              </w:rPr>
            </w:pPr>
            <w:r w:rsidRPr="000279F8">
              <w:rPr>
                <w:sz w:val="22"/>
                <w:szCs w:val="20"/>
              </w:rPr>
              <w:t>Don’t develop policies that unreasonably limit people’s right to equality just because they have been diagnosed with a mental health issue. These may be existing or new policies. People’s right to equality includes their right to enjoy their other human rights without discrimination.</w:t>
            </w:r>
          </w:p>
        </w:tc>
      </w:tr>
    </w:tbl>
    <w:p w14:paraId="327F1D07" w14:textId="30CDA553" w:rsidR="00B304A6" w:rsidRPr="00831D43" w:rsidRDefault="00B304A6" w:rsidP="00831D43">
      <w:pPr>
        <w:pStyle w:val="Heading1-report"/>
        <w:rPr>
          <w:color w:val="auto"/>
        </w:rPr>
        <w:sectPr w:rsidR="00B304A6" w:rsidRPr="00831D43" w:rsidSect="00850438">
          <w:pgSz w:w="16838" w:h="11906" w:orient="landscape"/>
          <w:pgMar w:top="720" w:right="720" w:bottom="720" w:left="720" w:header="708" w:footer="708" w:gutter="0"/>
          <w:cols w:space="708"/>
          <w:titlePg/>
          <w:docGrid w:linePitch="360"/>
        </w:sectPr>
      </w:pPr>
    </w:p>
    <w:p w14:paraId="5A19BCA4" w14:textId="758042C2" w:rsidR="00091271" w:rsidRDefault="00664365" w:rsidP="00705BED">
      <w:pPr>
        <w:pStyle w:val="Heading1-report"/>
        <w:ind w:left="720" w:firstLine="720"/>
      </w:pPr>
      <w:r>
        <w:rPr>
          <w:noProof/>
        </w:rPr>
        <w:lastRenderedPageBreak/>
        <w:drawing>
          <wp:anchor distT="0" distB="0" distL="114300" distR="114300" simplePos="0" relativeHeight="251658253" behindDoc="0" locked="0" layoutInCell="1" allowOverlap="1" wp14:anchorId="087D4919" wp14:editId="16EF0115">
            <wp:simplePos x="0" y="0"/>
            <wp:positionH relativeFrom="margin">
              <wp:align>left</wp:align>
            </wp:positionH>
            <wp:positionV relativeFrom="paragraph">
              <wp:posOffset>0</wp:posOffset>
            </wp:positionV>
            <wp:extent cx="655093" cy="655093"/>
            <wp:effectExtent l="0" t="0" r="0" b="0"/>
            <wp:wrapNone/>
            <wp:docPr id="38" name="Picture 38" descr="Hands holding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Hands holding hear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60002" cy="6600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1271">
        <w:t>Right to life (section 9)</w:t>
      </w:r>
      <w:r>
        <w:br/>
      </w:r>
    </w:p>
    <w:p w14:paraId="11C8F1E7" w14:textId="3D6251EF" w:rsidR="00EB1115" w:rsidRDefault="00EB1115" w:rsidP="00091271">
      <w:r w:rsidRPr="00EB1115">
        <w:rPr>
          <w:rStyle w:val="Strong"/>
          <w:noProof/>
        </w:rPr>
        <mc:AlternateContent>
          <mc:Choice Requires="wps">
            <w:drawing>
              <wp:anchor distT="45720" distB="45720" distL="114300" distR="114300" simplePos="0" relativeHeight="251658241" behindDoc="0" locked="0" layoutInCell="1" allowOverlap="1" wp14:anchorId="1D221CF1" wp14:editId="0F9066F5">
                <wp:simplePos x="0" y="0"/>
                <wp:positionH relativeFrom="margin">
                  <wp:align>left</wp:align>
                </wp:positionH>
                <wp:positionV relativeFrom="paragraph">
                  <wp:posOffset>271432</wp:posOffset>
                </wp:positionV>
                <wp:extent cx="5695950" cy="66675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66750"/>
                        </a:xfrm>
                        <a:prstGeom prst="rect">
                          <a:avLst/>
                        </a:prstGeom>
                        <a:solidFill>
                          <a:srgbClr val="201547"/>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3974DD02" w14:textId="77777777" w:rsidR="00091271" w:rsidRDefault="00091271" w:rsidP="00091271">
                            <w:pPr>
                              <w:rPr>
                                <w:b/>
                                <w:bCs/>
                                <w:sz w:val="28"/>
                                <w:szCs w:val="24"/>
                              </w:rPr>
                            </w:pPr>
                            <w:r>
                              <w:rPr>
                                <w:b/>
                                <w:bCs/>
                                <w:sz w:val="28"/>
                                <w:szCs w:val="24"/>
                              </w:rPr>
                              <w:t>Section 9. Right to life</w:t>
                            </w:r>
                          </w:p>
                          <w:p w14:paraId="534F7795" w14:textId="77777777" w:rsidR="00091271" w:rsidRDefault="00091271" w:rsidP="00091271">
                            <w:r>
                              <w:t>Every person has the right to life and has the right not to be arbitrarily deprived of life.</w:t>
                            </w:r>
                          </w:p>
                          <w:p w14:paraId="2AAB7183" w14:textId="77777777" w:rsidR="00091271" w:rsidRDefault="00091271" w:rsidP="0009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21CF1" id="Text Box 8" o:spid="_x0000_s1030" type="#_x0000_t202" style="position:absolute;margin-left:0;margin-top:21.35pt;width:448.5pt;height:52.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" fillcolor="#201547" strokecolor="#1b383a [1604]" strokeweight="1pt">
                <v:textbox>
                  <w:txbxContent>
                    <w:p w14:paraId="3974DD02" w14:textId="77777777" w:rsidR="00091271" w:rsidRDefault="00091271" w:rsidP="00091271">
                      <w:pPr>
                        <w:rPr>
                          <w:b/>
                          <w:bCs/>
                          <w:sz w:val="28"/>
                          <w:szCs w:val="24"/>
                        </w:rPr>
                      </w:pPr>
                      <w:r>
                        <w:rPr>
                          <w:b/>
                          <w:bCs/>
                          <w:sz w:val="28"/>
                          <w:szCs w:val="24"/>
                        </w:rPr>
                        <w:t>Section 9. Right to life</w:t>
                      </w:r>
                    </w:p>
                    <w:p w14:paraId="534F7795" w14:textId="77777777" w:rsidR="00091271" w:rsidRDefault="00091271" w:rsidP="00091271">
                      <w:r>
                        <w:t>Every person has the right to life and has the right not to be arbitrarily deprived of life.</w:t>
                      </w:r>
                    </w:p>
                    <w:p w14:paraId="2AAB7183" w14:textId="77777777" w:rsidR="00091271" w:rsidRDefault="00091271" w:rsidP="00091271"/>
                  </w:txbxContent>
                </v:textbox>
                <w10:wrap type="square" anchorx="margin"/>
              </v:shape>
            </w:pict>
          </mc:Fallback>
        </mc:AlternateContent>
      </w:r>
    </w:p>
    <w:p w14:paraId="2866CAF4" w14:textId="4879480A" w:rsidR="00091271" w:rsidRDefault="00091271" w:rsidP="006619C1">
      <w:pPr>
        <w:pStyle w:val="BoldedRightsIntro"/>
      </w:pPr>
      <w:r w:rsidRPr="00EB1115">
        <w:t xml:space="preserve">The </w:t>
      </w:r>
      <w:r w:rsidR="002C06C5" w:rsidRPr="00EB1115">
        <w:t>United Nations (</w:t>
      </w:r>
      <w:r w:rsidRPr="00EB1115">
        <w:t>UN</w:t>
      </w:r>
      <w:r w:rsidR="002C06C5" w:rsidRPr="00EB1115">
        <w:t>)</w:t>
      </w:r>
      <w:r w:rsidRPr="00EB1115">
        <w:t xml:space="preserve"> Human Rights Committee has described the right to life in the </w:t>
      </w:r>
      <w:r w:rsidR="00C33300" w:rsidRPr="00EB1115">
        <w:t>International Covenant on Civil and Political Rights (</w:t>
      </w:r>
      <w:r w:rsidRPr="00EB1115">
        <w:t>ICCPR</w:t>
      </w:r>
      <w:r w:rsidR="00C33300" w:rsidRPr="00EB1115">
        <w:t>)</w:t>
      </w:r>
      <w:r w:rsidRPr="00EB1115">
        <w:t xml:space="preserve"> (upon which section 9 of the Charter is based), as ‘the supreme right … [which] has crucial importance both for individuals and society as a whole’.</w:t>
      </w:r>
      <w:r w:rsidRPr="0091262D">
        <w:rPr>
          <w:rStyle w:val="FootnoteReference"/>
        </w:rPr>
        <w:footnoteReference w:id="28"/>
      </w:r>
    </w:p>
    <w:p w14:paraId="08B298FD" w14:textId="0830C934" w:rsidR="00301FC2" w:rsidRDefault="00301FC2" w:rsidP="00705BED">
      <w:pPr>
        <w:pStyle w:val="Heading2-report"/>
      </w:pPr>
      <w:r>
        <w:t>When could this arise in your work?</w:t>
      </w:r>
    </w:p>
    <w:p w14:paraId="69C98028" w14:textId="66688D63" w:rsidR="00F01EF8" w:rsidRDefault="00F01EF8" w:rsidP="00705BED">
      <w:pPr>
        <w:pStyle w:val="Heading3-report"/>
      </w:pPr>
      <w:r>
        <w:t>Ensure your policies don’t arbitrarily deprive someone of life</w:t>
      </w:r>
    </w:p>
    <w:p w14:paraId="1F91EB4E" w14:textId="180F81E7" w:rsidR="00091271" w:rsidRDefault="6D69D0D5" w:rsidP="00A25E1B">
      <w:r>
        <w:t>It is crucial that any policies you develop don’t arbitrarily or intentionally deprive someone of life. Whether something is arbitrary or not will depend on the reasonableness, necessity and proportionality of your policy or decision</w:t>
      </w:r>
      <w:r w:rsidR="00091271">
        <w:t>.</w:t>
      </w:r>
      <w:r w:rsidR="00091271" w:rsidRPr="0091262D">
        <w:rPr>
          <w:rStyle w:val="FootnoteReference"/>
        </w:rPr>
        <w:footnoteReference w:id="29"/>
      </w:r>
      <w:r w:rsidR="00091271">
        <w:t xml:space="preserve"> </w:t>
      </w:r>
    </w:p>
    <w:p w14:paraId="64531B4D" w14:textId="7906A33B" w:rsidR="00E11D3C" w:rsidRDefault="00E11D3C" w:rsidP="00366FBD">
      <w:pPr>
        <w:pStyle w:val="Heading3-report"/>
      </w:pPr>
      <w:r>
        <w:t>You may need to take “positive” steps to meet this obligation</w:t>
      </w:r>
    </w:p>
    <w:p w14:paraId="62FFED15" w14:textId="78F5C8C4" w:rsidR="00B5583B" w:rsidRDefault="6D69D0D5" w:rsidP="00091271">
      <w:r>
        <w:t>Meeting this duty doesn’t just mean avoiding actions that could deprive someone of life. It may mean that you as a policy maker or decision-maker need to take positive steps to protect rights.</w:t>
      </w:r>
      <w:r w:rsidR="00980BC7" w:rsidRPr="0091262D">
        <w:rPr>
          <w:rStyle w:val="FootnoteReference"/>
        </w:rPr>
        <w:footnoteReference w:id="30"/>
      </w:r>
      <w:r>
        <w:t xml:space="preserve"> This duty tends to be enhanced where someone is in the care of the state, such as in prisons, detention centres, medical facilities or mental health facilities.</w:t>
      </w:r>
      <w:r w:rsidR="004F6B36" w:rsidRPr="0091262D">
        <w:rPr>
          <w:rStyle w:val="FootnoteReference"/>
        </w:rPr>
        <w:footnoteReference w:id="31"/>
      </w:r>
      <w:r w:rsidR="00FF6D0F">
        <w:t xml:space="preserve"> </w:t>
      </w:r>
      <w:r w:rsidR="00301FC2">
        <w:t>This could require Division staff to ensure they have taken positive steps to ensure that the facilities and services in these settings are adequate to support the life of a person.</w:t>
      </w:r>
      <w:r w:rsidR="00D86FBF">
        <w:t xml:space="preserve"> This can include access to health services and the </w:t>
      </w:r>
      <w:r w:rsidR="009304EE">
        <w:t xml:space="preserve">elimination of things </w:t>
      </w:r>
      <w:r w:rsidR="003C3311">
        <w:t xml:space="preserve">that can pose a </w:t>
      </w:r>
      <w:r w:rsidR="009304EE">
        <w:t xml:space="preserve">life-threatening </w:t>
      </w:r>
      <w:r w:rsidR="003C3311">
        <w:t>risk to health and safety</w:t>
      </w:r>
      <w:r w:rsidR="009304EE">
        <w:t xml:space="preserve"> (such as dangerous infrastructure).</w:t>
      </w:r>
    </w:p>
    <w:p w14:paraId="5A3D4429" w14:textId="2C10465D" w:rsidR="00091271" w:rsidRDefault="00967DC5" w:rsidP="00705BED">
      <w:pPr>
        <w:pStyle w:val="Heading3-report"/>
      </w:pPr>
      <w:r>
        <w:t xml:space="preserve">Investigations into deaths: </w:t>
      </w:r>
      <w:r w:rsidR="00F429AC">
        <w:t xml:space="preserve">Taking a systemic </w:t>
      </w:r>
      <w:r w:rsidR="002C326A">
        <w:t>and preventative view</w:t>
      </w:r>
    </w:p>
    <w:p w14:paraId="010135AE" w14:textId="0A7C056D" w:rsidR="004F6B36" w:rsidRPr="004F6B36" w:rsidRDefault="6D69D0D5" w:rsidP="00705BED">
      <w:r>
        <w:t>To give effect to this right, it most likely requires that the state undertake investigations into deaths when someone is in their care.</w:t>
      </w:r>
      <w:r w:rsidR="004F6B36" w:rsidRPr="0091262D">
        <w:rPr>
          <w:rStyle w:val="FootnoteReference"/>
        </w:rPr>
        <w:footnoteReference w:id="32"/>
      </w:r>
      <w:r>
        <w:t xml:space="preserve"> This reaffirms that the Division should expect that coronial inquiries from the Victorian Coroners Court should follow the death of a person </w:t>
      </w:r>
      <w:r>
        <w:lastRenderedPageBreak/>
        <w:t>who is in the care of a publicly funded mental health service.</w:t>
      </w:r>
      <w:r w:rsidR="00443956">
        <w:t xml:space="preserve"> However, it is crucial that </w:t>
      </w:r>
      <w:r w:rsidR="00E4445B">
        <w:t>such processes and the evidence that the Division provides to such processes, include consideration of all relevant human rights.</w:t>
      </w:r>
    </w:p>
    <w:p w14:paraId="5EEC812B" w14:textId="0FD787C1" w:rsidR="00091271" w:rsidRDefault="004F6B36" w:rsidP="00366FBD">
      <w:pPr>
        <w:pStyle w:val="Heading2-report"/>
      </w:pPr>
      <w:r>
        <w:t>When can you limit the right?</w:t>
      </w:r>
    </w:p>
    <w:p w14:paraId="625EC9CD" w14:textId="29604B2A" w:rsidR="002121E1" w:rsidRDefault="009B43F7" w:rsidP="00091271">
      <w:pPr>
        <w:sectPr w:rsidR="002121E1" w:rsidSect="00271E88">
          <w:pgSz w:w="11906" w:h="16838"/>
          <w:pgMar w:top="1440" w:right="1418" w:bottom="1440" w:left="1418" w:header="708" w:footer="708" w:gutter="0"/>
          <w:cols w:space="708"/>
          <w:titlePg/>
          <w:docGrid w:linePitch="360"/>
        </w:sectPr>
      </w:pPr>
      <w:r>
        <w:t>T</w:t>
      </w:r>
      <w:r w:rsidR="6D69D0D5">
        <w:t xml:space="preserve">he right to life right is considered ‘non-derograble’ under international human rights law – meaning it cannot be limited or suspended under </w:t>
      </w:r>
      <w:r w:rsidR="6D69D0D5" w:rsidRPr="009B43F7">
        <w:t xml:space="preserve">any </w:t>
      </w:r>
      <w:r w:rsidR="6D69D0D5">
        <w:t>circumstances.</w:t>
      </w:r>
      <w:r w:rsidR="00091271" w:rsidRPr="0091262D">
        <w:rPr>
          <w:rStyle w:val="FootnoteReference"/>
        </w:rPr>
        <w:footnoteReference w:id="33"/>
      </w:r>
      <w:r w:rsidR="00091271">
        <w:t xml:space="preserve"> </w:t>
      </w:r>
      <w:r>
        <w:t xml:space="preserve"> </w:t>
      </w:r>
      <w:r w:rsidR="00F168A1">
        <w:t>T</w:t>
      </w:r>
      <w:r>
        <w:t>he Charter takes a different approach</w:t>
      </w:r>
      <w:r w:rsidR="00C5382B">
        <w:t xml:space="preserve"> and provides that a</w:t>
      </w:r>
      <w:r>
        <w:t xml:space="preserve">ll rights – including the right to life – </w:t>
      </w:r>
      <w:r w:rsidR="00F168A1">
        <w:t>are</w:t>
      </w:r>
      <w:r>
        <w:t xml:space="preserve"> able to be limited subject to section 7(2)</w:t>
      </w:r>
      <w:r w:rsidR="00F168A1">
        <w:t>. However, we note that t</w:t>
      </w:r>
      <w:r w:rsidR="00C5382B">
        <w:t xml:space="preserve">here are unlikely to be any circumstances where the arbitrary </w:t>
      </w:r>
      <w:r w:rsidR="00C96D62">
        <w:t>deprivation of life would be a reasonable and proportionate limitation on the right to life</w:t>
      </w:r>
      <w:r w:rsidR="009C7CA4">
        <w:t xml:space="preserve"> </w:t>
      </w:r>
      <w:r w:rsidR="005C0F99">
        <w:t xml:space="preserve">when </w:t>
      </w:r>
      <w:r w:rsidR="009C7CA4">
        <w:t>applying the test in section 7(2)</w:t>
      </w:r>
      <w:r w:rsidR="005C0F99">
        <w:t xml:space="preserve"> in practice</w:t>
      </w:r>
      <w:r>
        <w:t>.</w:t>
      </w:r>
    </w:p>
    <w:p w14:paraId="3F3030C2" w14:textId="78F49874" w:rsidR="00B40C7E" w:rsidRDefault="00B40C7E" w:rsidP="00B40C7E">
      <w:pPr>
        <w:pStyle w:val="Heading1-report"/>
        <w:spacing w:before="0"/>
      </w:pPr>
      <w:r>
        <w:rPr>
          <w:noProof/>
        </w:rPr>
        <w:lastRenderedPageBreak/>
        <mc:AlternateContent>
          <mc:Choice Requires="wps">
            <w:drawing>
              <wp:anchor distT="0" distB="0" distL="114300" distR="114300" simplePos="0" relativeHeight="251658260" behindDoc="1" locked="0" layoutInCell="1" allowOverlap="1" wp14:anchorId="75322615" wp14:editId="7FE18EE7">
                <wp:simplePos x="0" y="0"/>
                <wp:positionH relativeFrom="page">
                  <wp:align>left</wp:align>
                </wp:positionH>
                <wp:positionV relativeFrom="paragraph">
                  <wp:posOffset>-901811</wp:posOffset>
                </wp:positionV>
                <wp:extent cx="10693593" cy="7839456"/>
                <wp:effectExtent l="0" t="0" r="12700" b="28575"/>
                <wp:wrapNone/>
                <wp:docPr id="204" name="Rectangle 204"/>
                <wp:cNvGraphicFramePr/>
                <a:graphic xmlns:a="http://schemas.openxmlformats.org/drawingml/2006/main">
                  <a:graphicData uri="http://schemas.microsoft.com/office/word/2010/wordprocessingShape">
                    <wps:wsp>
                      <wps:cNvSpPr/>
                      <wps:spPr>
                        <a:xfrm>
                          <a:off x="0" y="0"/>
                          <a:ext cx="10693593" cy="7839456"/>
                        </a:xfrm>
                        <a:prstGeom prst="rect">
                          <a:avLst/>
                        </a:prstGeom>
                        <a:solidFill>
                          <a:srgbClr val="D0E8E9"/>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07756A" w14:textId="77777777" w:rsidR="00B40C7E" w:rsidRDefault="00B40C7E" w:rsidP="00B40C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22615" id="Rectangle 204" o:spid="_x0000_s1031" style="position:absolute;margin-left:0;margin-top:-71pt;width:842pt;height:617.3pt;z-index:-2516582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" fillcolor="#d0e8e9" strokecolor="#1b383a [1604]" strokeweight="1pt">
                <v:textbox>
                  <w:txbxContent>
                    <w:p w14:paraId="3E07756A" w14:textId="77777777" w:rsidR="00B40C7E" w:rsidRDefault="00B40C7E" w:rsidP="00B40C7E">
                      <w:pPr>
                        <w:jc w:val="center"/>
                      </w:pPr>
                    </w:p>
                  </w:txbxContent>
                </v:textbox>
                <w10:wrap anchorx="page"/>
              </v:rect>
            </w:pict>
          </mc:Fallback>
        </mc:AlternateContent>
      </w:r>
      <w:r>
        <w:t xml:space="preserve">TAKE-HOMES: </w:t>
      </w:r>
      <w:r w:rsidR="00025A42">
        <w:t>RIGHT TO LIFE</w:t>
      </w:r>
    </w:p>
    <w:tbl>
      <w:tblPr>
        <w:tblStyle w:val="TableGridLight"/>
        <w:tblW w:w="15446" w:type="dxa"/>
        <w:tblCellMar>
          <w:bottom w:w="284" w:type="dxa"/>
        </w:tblCellMar>
        <w:tblLook w:val="04A0" w:firstRow="1" w:lastRow="0" w:firstColumn="1" w:lastColumn="0" w:noHBand="0" w:noVBand="1"/>
      </w:tblPr>
      <w:tblGrid>
        <w:gridCol w:w="1056"/>
        <w:gridCol w:w="5818"/>
        <w:gridCol w:w="1056"/>
        <w:gridCol w:w="7516"/>
      </w:tblGrid>
      <w:tr w:rsidR="00B40C7E" w14:paraId="170FF15F" w14:textId="77777777" w:rsidTr="6D69D0D5">
        <w:trPr>
          <w:trHeight w:val="300"/>
        </w:trPr>
        <w:tc>
          <w:tcPr>
            <w:tcW w:w="1056" w:type="dxa"/>
          </w:tcPr>
          <w:p w14:paraId="36CB66BB" w14:textId="77777777" w:rsidR="00B40C7E" w:rsidRDefault="00B40C7E" w:rsidP="004F4360">
            <w:r>
              <w:rPr>
                <w:noProof/>
              </w:rPr>
              <w:drawing>
                <wp:inline distT="0" distB="0" distL="0" distR="0" wp14:anchorId="3B4934DE" wp14:editId="027DEF16">
                  <wp:extent cx="526774" cy="526774"/>
                  <wp:effectExtent l="0" t="0" r="6985" b="6985"/>
                  <wp:docPr id="205" name="Graphic 205"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5818" w:type="dxa"/>
          </w:tcPr>
          <w:p w14:paraId="3430EF1F" w14:textId="40C4B7EE" w:rsidR="00B40C7E" w:rsidRDefault="001A5AF9" w:rsidP="004F4360">
            <w:pPr>
              <w:pStyle w:val="Heading3-report"/>
            </w:pPr>
            <w:r>
              <w:t>Ensure that you can</w:t>
            </w:r>
            <w:r w:rsidR="00025A42">
              <w:t xml:space="preserve"> assist the Victorian Coroner</w:t>
            </w:r>
          </w:p>
          <w:p w14:paraId="54525446" w14:textId="1A176555" w:rsidR="00B40C7E" w:rsidRPr="007A1180" w:rsidRDefault="6D69D0D5" w:rsidP="004F4360">
            <w:r w:rsidRPr="6D69D0D5">
              <w:rPr>
                <w:sz w:val="22"/>
              </w:rPr>
              <w:t>The right to life is engaged where the Coroner’s Court of Victoria must examine someone’s death in state care. You may assist the Coroner to understand the operation</w:t>
            </w:r>
            <w:r w:rsidR="005C0F99">
              <w:rPr>
                <w:sz w:val="22"/>
              </w:rPr>
              <w:t xml:space="preserve"> of</w:t>
            </w:r>
            <w:r w:rsidRPr="6D69D0D5">
              <w:rPr>
                <w:sz w:val="22"/>
              </w:rPr>
              <w:t xml:space="preserve"> this right as well as the operation of other rights in the mental health context.</w:t>
            </w:r>
          </w:p>
        </w:tc>
        <w:tc>
          <w:tcPr>
            <w:tcW w:w="1056" w:type="dxa"/>
          </w:tcPr>
          <w:p w14:paraId="7577DD5D" w14:textId="3AFF3C29" w:rsidR="00B40C7E" w:rsidRDefault="00FA2EAD" w:rsidP="004F4360">
            <w:r>
              <w:rPr>
                <w:noProof/>
              </w:rPr>
              <w:drawing>
                <wp:inline distT="0" distB="0" distL="0" distR="0" wp14:anchorId="6CB3B647" wp14:editId="4564A346">
                  <wp:extent cx="530705" cy="530705"/>
                  <wp:effectExtent l="0" t="0" r="3175" b="3175"/>
                  <wp:docPr id="211" name="Graphic 211" descr="Badge Cro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Badge Cross with solid fill"/>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30705" cy="530705"/>
                          </a:xfrm>
                          <a:prstGeom prst="rect">
                            <a:avLst/>
                          </a:prstGeom>
                        </pic:spPr>
                      </pic:pic>
                    </a:graphicData>
                  </a:graphic>
                </wp:inline>
              </w:drawing>
            </w:r>
          </w:p>
        </w:tc>
        <w:tc>
          <w:tcPr>
            <w:tcW w:w="7516" w:type="dxa"/>
          </w:tcPr>
          <w:p w14:paraId="1274341F" w14:textId="3B988FFF" w:rsidR="00B40C7E" w:rsidRDefault="00FA2EAD" w:rsidP="004F4360">
            <w:pPr>
              <w:pStyle w:val="Heading3-report"/>
            </w:pPr>
            <w:r>
              <w:t>Don’t take a narrow approach to the right to life</w:t>
            </w:r>
          </w:p>
          <w:p w14:paraId="0F003C24" w14:textId="4E43E9DF" w:rsidR="00B40C7E" w:rsidRPr="00861362" w:rsidRDefault="00FA2EAD" w:rsidP="004F4360">
            <w:r>
              <w:t xml:space="preserve">In your guidance and engagement with services, ensure that you </w:t>
            </w:r>
            <w:r w:rsidR="00E46484">
              <w:t>put the right to life within the context of broader rights under the Charter. For example, looking only at the right to life in the absence of other rights can lead to a risk</w:t>
            </w:r>
            <w:r w:rsidR="003C3105">
              <w:t>-</w:t>
            </w:r>
            <w:r w:rsidR="00E46484">
              <w:t>averse approach.</w:t>
            </w:r>
            <w:r w:rsidR="0085211F" w:rsidRPr="0091262D">
              <w:rPr>
                <w:rStyle w:val="FootnoteReference"/>
              </w:rPr>
              <w:footnoteReference w:id="34"/>
            </w:r>
            <w:r w:rsidR="00E46484">
              <w:t xml:space="preserve"> Such an approach can lead to unnecessary admissions</w:t>
            </w:r>
            <w:r w:rsidR="003C3105">
              <w:t xml:space="preserve"> into inpatient units</w:t>
            </w:r>
            <w:r w:rsidR="00E46484">
              <w:t xml:space="preserve"> and rights breaches</w:t>
            </w:r>
            <w:r w:rsidR="00ED4B86">
              <w:t>. Some researchers have argued that inpatient admissions</w:t>
            </w:r>
            <w:r w:rsidR="00E46484">
              <w:t xml:space="preserve"> may do little to prevent suicide in the long-term.</w:t>
            </w:r>
            <w:r w:rsidR="009C7B9A" w:rsidRPr="0091262D">
              <w:rPr>
                <w:rStyle w:val="FootnoteReference"/>
              </w:rPr>
              <w:footnoteReference w:id="35"/>
            </w:r>
          </w:p>
        </w:tc>
      </w:tr>
      <w:tr w:rsidR="00B40C7E" w14:paraId="2ACDF48F" w14:textId="77777777" w:rsidTr="6D69D0D5">
        <w:trPr>
          <w:trHeight w:val="300"/>
        </w:trPr>
        <w:tc>
          <w:tcPr>
            <w:tcW w:w="1056" w:type="dxa"/>
            <w:shd w:val="clear" w:color="auto" w:fill="auto"/>
          </w:tcPr>
          <w:p w14:paraId="59AB7724" w14:textId="26A63DE0" w:rsidR="00B40C7E" w:rsidRDefault="006F3468" w:rsidP="6D69D0D5">
            <w:r>
              <w:rPr>
                <w:noProof/>
              </w:rPr>
              <w:drawing>
                <wp:inline distT="0" distB="0" distL="0" distR="0" wp14:anchorId="52A08D52" wp14:editId="745A5F8C">
                  <wp:extent cx="523875" cy="523875"/>
                  <wp:effectExtent l="0" t="0" r="6985" b="6985"/>
                  <wp:docPr id="2098995649" name="Graphic 2098995649"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7"/>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23875" cy="523875"/>
                          </a:xfrm>
                          <a:prstGeom prst="rect">
                            <a:avLst/>
                          </a:prstGeom>
                        </pic:spPr>
                      </pic:pic>
                    </a:graphicData>
                  </a:graphic>
                </wp:inline>
              </w:drawing>
            </w:r>
          </w:p>
        </w:tc>
        <w:tc>
          <w:tcPr>
            <w:tcW w:w="5818" w:type="dxa"/>
          </w:tcPr>
          <w:p w14:paraId="220691AC" w14:textId="135D6D5C" w:rsidR="00B40C7E" w:rsidRDefault="00025A42" w:rsidP="004F4360">
            <w:pPr>
              <w:pStyle w:val="Heading3-report"/>
            </w:pPr>
            <w:r>
              <w:t>Ensure that standards of care are adequate</w:t>
            </w:r>
          </w:p>
          <w:p w14:paraId="710F350B" w14:textId="7D42B2D8" w:rsidR="00B40C7E" w:rsidRPr="008274CA" w:rsidRDefault="00025A42" w:rsidP="004F4360">
            <w:r>
              <w:rPr>
                <w:sz w:val="22"/>
                <w:szCs w:val="20"/>
              </w:rPr>
              <w:t>In areas of custody, such as within a mental health inpatient unit, prison or police custodial setting, it is important that people are provided with adequate care that should at the least prevent death.</w:t>
            </w:r>
            <w:r w:rsidR="005632DD">
              <w:rPr>
                <w:sz w:val="22"/>
                <w:szCs w:val="20"/>
              </w:rPr>
              <w:t xml:space="preserve"> You may need to work with other </w:t>
            </w:r>
            <w:r w:rsidR="0059567C">
              <w:rPr>
                <w:sz w:val="22"/>
                <w:szCs w:val="20"/>
              </w:rPr>
              <w:t>d</w:t>
            </w:r>
            <w:r w:rsidR="005632DD">
              <w:rPr>
                <w:sz w:val="22"/>
                <w:szCs w:val="20"/>
              </w:rPr>
              <w:t>epartments and oversight agencies to develop and monitor standards in these contexts.</w:t>
            </w:r>
            <w:r>
              <w:rPr>
                <w:sz w:val="22"/>
                <w:szCs w:val="20"/>
              </w:rPr>
              <w:t xml:space="preserve"> Note: the standards of care should do more than </w:t>
            </w:r>
            <w:r w:rsidR="00C44D2F">
              <w:rPr>
                <w:sz w:val="22"/>
                <w:szCs w:val="20"/>
              </w:rPr>
              <w:t>just prevent death.</w:t>
            </w:r>
          </w:p>
        </w:tc>
        <w:tc>
          <w:tcPr>
            <w:tcW w:w="1056" w:type="dxa"/>
          </w:tcPr>
          <w:p w14:paraId="6F72E4B9" w14:textId="0A11F8E9" w:rsidR="00B40C7E" w:rsidRDefault="00B40C7E" w:rsidP="6D69D0D5">
            <w:r>
              <w:rPr>
                <w:noProof/>
              </w:rPr>
              <w:drawing>
                <wp:inline distT="0" distB="0" distL="0" distR="0" wp14:anchorId="61B45074" wp14:editId="369A28F4">
                  <wp:extent cx="523875" cy="523875"/>
                  <wp:effectExtent l="0" t="0" r="6985" b="6985"/>
                  <wp:docPr id="2098995691" name="Graphic 2098995691"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7"/>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23875" cy="523875"/>
                          </a:xfrm>
                          <a:prstGeom prst="rect">
                            <a:avLst/>
                          </a:prstGeom>
                        </pic:spPr>
                      </pic:pic>
                    </a:graphicData>
                  </a:graphic>
                </wp:inline>
              </w:drawing>
            </w:r>
          </w:p>
        </w:tc>
        <w:tc>
          <w:tcPr>
            <w:tcW w:w="7516" w:type="dxa"/>
          </w:tcPr>
          <w:p w14:paraId="3C4EB7FD" w14:textId="1C7381AE" w:rsidR="00B40C7E" w:rsidRPr="00796694" w:rsidRDefault="6D69D0D5" w:rsidP="6D69D0D5">
            <w:pPr>
              <w:pStyle w:val="Heading3-report"/>
            </w:pPr>
            <w:r>
              <w:t>Ensure that people’s right to life is prioritised across government</w:t>
            </w:r>
          </w:p>
          <w:p w14:paraId="72BBD457" w14:textId="11653803" w:rsidR="00B40C7E" w:rsidRPr="00796694" w:rsidRDefault="6D69D0D5" w:rsidP="6D69D0D5">
            <w:pPr>
              <w:spacing w:line="259" w:lineRule="auto"/>
              <w:rPr>
                <w:sz w:val="22"/>
              </w:rPr>
            </w:pPr>
            <w:r w:rsidRPr="6D69D0D5">
              <w:rPr>
                <w:sz w:val="22"/>
              </w:rPr>
              <w:t>The Division has important expertise and responsibilities in relation to people with lived experience of mental health issues and psychological distress. When you are providing comments on draft bills, policies and practices from other area</w:t>
            </w:r>
            <w:r w:rsidR="0033704A">
              <w:rPr>
                <w:sz w:val="22"/>
              </w:rPr>
              <w:t>s</w:t>
            </w:r>
            <w:r w:rsidRPr="6D69D0D5">
              <w:rPr>
                <w:sz w:val="22"/>
              </w:rPr>
              <w:t xml:space="preserve"> of government, ensure that you are providing advice on relevant issues that may affect the right of life of people with lived experience and that you work collaboratively to mitigate the risk of human rights breaches.</w:t>
            </w:r>
          </w:p>
        </w:tc>
      </w:tr>
    </w:tbl>
    <w:p w14:paraId="6970B67B" w14:textId="1CBAB83C" w:rsidR="002121E1" w:rsidRDefault="002121E1" w:rsidP="00091271">
      <w:pPr>
        <w:sectPr w:rsidR="002121E1" w:rsidSect="00B40C7E">
          <w:pgSz w:w="16838" w:h="11906" w:orient="landscape"/>
          <w:pgMar w:top="720" w:right="720" w:bottom="720" w:left="720" w:header="708" w:footer="708" w:gutter="0"/>
          <w:cols w:space="708"/>
          <w:titlePg/>
          <w:docGrid w:linePitch="360"/>
        </w:sectPr>
      </w:pPr>
    </w:p>
    <w:p w14:paraId="5ED0EF80" w14:textId="6B73FD3C" w:rsidR="00F86911" w:rsidRDefault="00CE7756" w:rsidP="00CE7756">
      <w:pPr>
        <w:pStyle w:val="Heading1-report"/>
        <w:spacing w:before="0"/>
        <w:ind w:left="1440"/>
      </w:pPr>
      <w:r>
        <w:rPr>
          <w:noProof/>
        </w:rPr>
        <w:lastRenderedPageBreak/>
        <mc:AlternateContent>
          <mc:Choice Requires="wps">
            <w:drawing>
              <wp:anchor distT="45720" distB="45720" distL="114300" distR="114300" simplePos="0" relativeHeight="251658290" behindDoc="0" locked="0" layoutInCell="1" allowOverlap="1" wp14:anchorId="50C57A66" wp14:editId="58D61304">
                <wp:simplePos x="0" y="0"/>
                <wp:positionH relativeFrom="margin">
                  <wp:posOffset>6350</wp:posOffset>
                </wp:positionH>
                <wp:positionV relativeFrom="paragraph">
                  <wp:posOffset>1228725</wp:posOffset>
                </wp:positionV>
                <wp:extent cx="5735955" cy="1404620"/>
                <wp:effectExtent l="0" t="0" r="17145" b="23495"/>
                <wp:wrapSquare wrapText="bothSides"/>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404620"/>
                        </a:xfrm>
                        <a:prstGeom prst="rect">
                          <a:avLst/>
                        </a:prstGeom>
                        <a:solidFill>
                          <a:srgbClr val="201547"/>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161382E8" w14:textId="688C5732" w:rsidR="00C8471D" w:rsidRPr="00C8471D" w:rsidRDefault="00C8471D" w:rsidP="00C8471D">
                            <w:pPr>
                              <w:pStyle w:val="Heading3-report"/>
                              <w:rPr>
                                <w:rFonts w:cstheme="minorHAnsi"/>
                                <w:color w:val="FFFFFF" w:themeColor="background1"/>
                              </w:rPr>
                            </w:pPr>
                            <w:r w:rsidRPr="00C8471D">
                              <w:rPr>
                                <w:color w:val="FFFFFF" w:themeColor="background1"/>
                              </w:rPr>
                              <w:t>Section 10 Protection from torture and cruel, inhuman or degrading treatment</w:t>
                            </w:r>
                          </w:p>
                          <w:p w14:paraId="603A34BC" w14:textId="514D377B" w:rsidR="0065334C" w:rsidRDefault="00C8471D" w:rsidP="00441FD4">
                            <w:pPr>
                              <w:rPr>
                                <w:rFonts w:cstheme="minorHAnsi"/>
                                <w:color w:val="FFFFFF" w:themeColor="background1"/>
                              </w:rPr>
                            </w:pPr>
                            <w:r w:rsidRPr="00C8471D">
                              <w:rPr>
                                <w:rFonts w:cstheme="minorHAnsi"/>
                                <w:color w:val="FFFFFF" w:themeColor="background1"/>
                              </w:rPr>
                              <w:t>A person must not be</w:t>
                            </w:r>
                            <w:r>
                              <w:rPr>
                                <w:rFonts w:cstheme="minorHAnsi"/>
                                <w:color w:val="FFFFFF" w:themeColor="background1"/>
                              </w:rPr>
                              <w:t xml:space="preserve"> </w:t>
                            </w:r>
                            <w:r w:rsidR="00947553">
                              <w:rPr>
                                <w:rFonts w:cstheme="minorHAnsi"/>
                                <w:color w:val="FFFFFF" w:themeColor="background1"/>
                              </w:rPr>
                              <w:t>—</w:t>
                            </w:r>
                          </w:p>
                          <w:p w14:paraId="429D612B" w14:textId="66122E9B" w:rsidR="00441FD4" w:rsidRDefault="00441FD4" w:rsidP="00E225B4">
                            <w:pPr>
                              <w:pStyle w:val="ListParagraph"/>
                              <w:numPr>
                                <w:ilvl w:val="0"/>
                                <w:numId w:val="46"/>
                              </w:numPr>
                              <w:rPr>
                                <w:rFonts w:cstheme="minorHAnsi"/>
                                <w:color w:val="FFFFFF" w:themeColor="background1"/>
                              </w:rPr>
                            </w:pPr>
                            <w:r>
                              <w:rPr>
                                <w:rFonts w:cstheme="minorHAnsi"/>
                                <w:color w:val="FFFFFF" w:themeColor="background1"/>
                              </w:rPr>
                              <w:t xml:space="preserve">Subjected to torture; or </w:t>
                            </w:r>
                          </w:p>
                          <w:p w14:paraId="56CBDDD6" w14:textId="11782E8E" w:rsidR="00441FD4" w:rsidRDefault="00441FD4" w:rsidP="00E225B4">
                            <w:pPr>
                              <w:pStyle w:val="ListParagraph"/>
                              <w:numPr>
                                <w:ilvl w:val="0"/>
                                <w:numId w:val="46"/>
                              </w:numPr>
                              <w:rPr>
                                <w:rFonts w:cstheme="minorHAnsi"/>
                                <w:color w:val="FFFFFF" w:themeColor="background1"/>
                              </w:rPr>
                            </w:pPr>
                            <w:r>
                              <w:rPr>
                                <w:rFonts w:cstheme="minorHAnsi"/>
                                <w:color w:val="FFFFFF" w:themeColor="background1"/>
                              </w:rPr>
                              <w:t>Treated or punished in a cruel, inhuman or degrading way; or</w:t>
                            </w:r>
                          </w:p>
                          <w:p w14:paraId="2C6BE2D3" w14:textId="48D960A6" w:rsidR="00441FD4" w:rsidRPr="00441FD4" w:rsidRDefault="005927C1" w:rsidP="00E225B4">
                            <w:pPr>
                              <w:pStyle w:val="ListParagraph"/>
                              <w:numPr>
                                <w:ilvl w:val="0"/>
                                <w:numId w:val="46"/>
                              </w:numPr>
                              <w:rPr>
                                <w:rFonts w:cstheme="minorHAnsi"/>
                                <w:color w:val="FFFFFF" w:themeColor="background1"/>
                              </w:rPr>
                            </w:pPr>
                            <w:r>
                              <w:rPr>
                                <w:rFonts w:cstheme="minorHAnsi"/>
                                <w:color w:val="FFFFFF" w:themeColor="background1"/>
                              </w:rPr>
                              <w:t>Subjected to medical or scientific experiments without that person’s full, free and informed consent.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C57A66" id="Text Box 243" o:spid="_x0000_s1032" type="#_x0000_t202" style="position:absolute;left:0;text-align:left;margin-left:.5pt;margin-top:96.75pt;width:451.65pt;height:110.6pt;z-index:25165829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" fillcolor="#201547" strokecolor="#1b383a [1604]" strokeweight="1pt">
                <v:textbox style="mso-fit-shape-to-text:t">
                  <w:txbxContent>
                    <w:p w14:paraId="161382E8" w14:textId="688C5732" w:rsidR="00C8471D" w:rsidRPr="00C8471D" w:rsidRDefault="00C8471D" w:rsidP="00C8471D">
                      <w:pPr>
                        <w:pStyle w:val="Heading3-report"/>
                        <w:rPr>
                          <w:rFonts w:cstheme="minorHAnsi"/>
                          <w:color w:val="FFFFFF" w:themeColor="background1"/>
                        </w:rPr>
                      </w:pPr>
                      <w:r w:rsidRPr="00C8471D">
                        <w:rPr>
                          <w:color w:val="FFFFFF" w:themeColor="background1"/>
                        </w:rPr>
                        <w:t>Section 10 Protection from torture and cruel, inhuman or degrading treatment</w:t>
                      </w:r>
                    </w:p>
                    <w:p w14:paraId="603A34BC" w14:textId="514D377B" w:rsidR="0065334C" w:rsidRDefault="00C8471D" w:rsidP="00441FD4">
                      <w:pPr>
                        <w:rPr>
                          <w:rFonts w:cstheme="minorHAnsi"/>
                          <w:color w:val="FFFFFF" w:themeColor="background1"/>
                        </w:rPr>
                      </w:pPr>
                      <w:r w:rsidRPr="00C8471D">
                        <w:rPr>
                          <w:rFonts w:cstheme="minorHAnsi"/>
                          <w:color w:val="FFFFFF" w:themeColor="background1"/>
                        </w:rPr>
                        <w:t>A person must not be</w:t>
                      </w:r>
                      <w:r>
                        <w:rPr>
                          <w:rFonts w:cstheme="minorHAnsi"/>
                          <w:color w:val="FFFFFF" w:themeColor="background1"/>
                        </w:rPr>
                        <w:t xml:space="preserve"> </w:t>
                      </w:r>
                      <w:r w:rsidR="00947553">
                        <w:rPr>
                          <w:rFonts w:cstheme="minorHAnsi"/>
                          <w:color w:val="FFFFFF" w:themeColor="background1"/>
                        </w:rPr>
                        <w:t>—</w:t>
                      </w:r>
                    </w:p>
                    <w:p w14:paraId="429D612B" w14:textId="66122E9B" w:rsidR="00441FD4" w:rsidRDefault="00441FD4" w:rsidP="00E225B4">
                      <w:pPr>
                        <w:pStyle w:val="ListParagraph"/>
                        <w:numPr>
                          <w:ilvl w:val="0"/>
                          <w:numId w:val="46"/>
                        </w:numPr>
                        <w:rPr>
                          <w:rFonts w:cstheme="minorHAnsi"/>
                          <w:color w:val="FFFFFF" w:themeColor="background1"/>
                        </w:rPr>
                      </w:pPr>
                      <w:r>
                        <w:rPr>
                          <w:rFonts w:cstheme="minorHAnsi"/>
                          <w:color w:val="FFFFFF" w:themeColor="background1"/>
                        </w:rPr>
                        <w:t xml:space="preserve">Subjected to torture; or </w:t>
                      </w:r>
                    </w:p>
                    <w:p w14:paraId="56CBDDD6" w14:textId="11782E8E" w:rsidR="00441FD4" w:rsidRDefault="00441FD4" w:rsidP="00E225B4">
                      <w:pPr>
                        <w:pStyle w:val="ListParagraph"/>
                        <w:numPr>
                          <w:ilvl w:val="0"/>
                          <w:numId w:val="46"/>
                        </w:numPr>
                        <w:rPr>
                          <w:rFonts w:cstheme="minorHAnsi"/>
                          <w:color w:val="FFFFFF" w:themeColor="background1"/>
                        </w:rPr>
                      </w:pPr>
                      <w:r>
                        <w:rPr>
                          <w:rFonts w:cstheme="minorHAnsi"/>
                          <w:color w:val="FFFFFF" w:themeColor="background1"/>
                        </w:rPr>
                        <w:t>Treated or punished in a cruel, inhuman or degrading way; or</w:t>
                      </w:r>
                    </w:p>
                    <w:p w14:paraId="2C6BE2D3" w14:textId="48D960A6" w:rsidR="00441FD4" w:rsidRPr="00441FD4" w:rsidRDefault="005927C1" w:rsidP="00E225B4">
                      <w:pPr>
                        <w:pStyle w:val="ListParagraph"/>
                        <w:numPr>
                          <w:ilvl w:val="0"/>
                          <w:numId w:val="46"/>
                        </w:numPr>
                        <w:rPr>
                          <w:rFonts w:cstheme="minorHAnsi"/>
                          <w:color w:val="FFFFFF" w:themeColor="background1"/>
                        </w:rPr>
                      </w:pPr>
                      <w:r>
                        <w:rPr>
                          <w:rFonts w:cstheme="minorHAnsi"/>
                          <w:color w:val="FFFFFF" w:themeColor="background1"/>
                        </w:rPr>
                        <w:t>Subjected to medical or scientific experiments without that person’s full, free and informed consent.</w:t>
                      </w:r>
                    </w:p>
                  </w:txbxContent>
                </v:textbox>
                <w10:wrap type="square" anchorx="margin"/>
              </v:shape>
            </w:pict>
          </mc:Fallback>
        </mc:AlternateContent>
      </w:r>
      <w:r>
        <w:rPr>
          <w:noProof/>
        </w:rPr>
        <w:drawing>
          <wp:anchor distT="0" distB="0" distL="114300" distR="114300" simplePos="0" relativeHeight="251658254" behindDoc="0" locked="0" layoutInCell="1" allowOverlap="1" wp14:anchorId="2C308F53" wp14:editId="2EDB4F7D">
            <wp:simplePos x="0" y="0"/>
            <wp:positionH relativeFrom="margin">
              <wp:align>left</wp:align>
            </wp:positionH>
            <wp:positionV relativeFrom="paragraph">
              <wp:posOffset>1674</wp:posOffset>
            </wp:positionV>
            <wp:extent cx="681990" cy="681990"/>
            <wp:effectExtent l="0" t="0" r="3810" b="3810"/>
            <wp:wrapNone/>
            <wp:docPr id="39" name="Picture 39" descr="Image of ch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Image of chain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81990" cy="681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04B">
        <w:t>Protection from torture and cruel, inhuman or degrading treatment (section 10)</w:t>
      </w:r>
    </w:p>
    <w:p w14:paraId="651BBACD" w14:textId="0FA99DCF" w:rsidR="00E175EC" w:rsidRDefault="00DF427B" w:rsidP="006619C1">
      <w:pPr>
        <w:pStyle w:val="BoldedRightsIntro"/>
      </w:pPr>
      <w:r w:rsidRPr="00EB1115">
        <w:t>Some of the darkest periods</w:t>
      </w:r>
      <w:r w:rsidR="00683B99" w:rsidRPr="00EB1115">
        <w:t xml:space="preserve"> in Europe’s </w:t>
      </w:r>
      <w:r w:rsidR="000A4215" w:rsidRPr="00EB1115">
        <w:t xml:space="preserve">modern </w:t>
      </w:r>
      <w:r w:rsidR="00683B99" w:rsidRPr="00EB1115">
        <w:t>history w</w:t>
      </w:r>
      <w:r w:rsidR="000A4215" w:rsidRPr="00EB1115">
        <w:t>ere during</w:t>
      </w:r>
      <w:r w:rsidR="00683B99" w:rsidRPr="00EB1115">
        <w:t xml:space="preserve"> the experimental medical treatment imposed on people</w:t>
      </w:r>
      <w:r w:rsidR="00544FD6" w:rsidRPr="00EB1115">
        <w:t xml:space="preserve"> with disability</w:t>
      </w:r>
      <w:r w:rsidR="00683B99" w:rsidRPr="00EB1115">
        <w:t xml:space="preserve"> by Nazi Germany</w:t>
      </w:r>
      <w:r w:rsidR="00CD2510">
        <w:t>, which was informed by guidance from the medical profession, including</w:t>
      </w:r>
      <w:r w:rsidR="00683B99" w:rsidRPr="00EB1115">
        <w:t xml:space="preserve"> psychiatry. </w:t>
      </w:r>
      <w:r w:rsidR="00CD2510">
        <w:t xml:space="preserve">This led practices </w:t>
      </w:r>
      <w:r w:rsidR="00683B99" w:rsidRPr="00EB1115">
        <w:t>such</w:t>
      </w:r>
      <w:r w:rsidR="00606075">
        <w:t xml:space="preserve"> as the</w:t>
      </w:r>
      <w:r w:rsidR="00683B99" w:rsidRPr="00EB1115">
        <w:t xml:space="preserve"> sterilisation </w:t>
      </w:r>
      <w:r w:rsidR="009D3190">
        <w:t>and murder of people with disability</w:t>
      </w:r>
      <w:r w:rsidR="00606075">
        <w:t>. While this may</w:t>
      </w:r>
      <w:r w:rsidR="00683B99" w:rsidRPr="00EB1115">
        <w:t xml:space="preserve"> now seem part of a distant past, more recent practices within mental health may </w:t>
      </w:r>
      <w:r w:rsidR="000A6036">
        <w:t xml:space="preserve">still </w:t>
      </w:r>
      <w:r w:rsidR="00683B99" w:rsidRPr="00EB1115">
        <w:t>be considered torture or cruel, inhuman or degrading treatment.</w:t>
      </w:r>
      <w:r w:rsidR="00683B99" w:rsidRPr="0091262D">
        <w:rPr>
          <w:rStyle w:val="FootnoteReference"/>
        </w:rPr>
        <w:footnoteReference w:id="36"/>
      </w:r>
    </w:p>
    <w:p w14:paraId="59744642" w14:textId="1B3884E5" w:rsidR="00301FC2" w:rsidRDefault="00F04EDD" w:rsidP="00705BED">
      <w:pPr>
        <w:pStyle w:val="Heading2-report"/>
      </w:pPr>
      <w:r>
        <w:t xml:space="preserve">Defining </w:t>
      </w:r>
      <w:r w:rsidR="00301FC2">
        <w:t>‘torture’ and ‘cruel, inhuman and degrading treatment’?</w:t>
      </w:r>
    </w:p>
    <w:p w14:paraId="40432A4F" w14:textId="74F531E4" w:rsidR="00502813" w:rsidRDefault="6D69D0D5" w:rsidP="008B22BC">
      <w:r>
        <w:t xml:space="preserve">The Charter protects against torture and cruel, inhuman or degrading treatment. This is connected to broader international duties that define these concepts. </w:t>
      </w:r>
      <w:r w:rsidR="00D70A61">
        <w:t xml:space="preserve">Article 1 of the </w:t>
      </w:r>
      <w:r w:rsidR="00D70A61" w:rsidRPr="6D69D0D5">
        <w:rPr>
          <w:i/>
          <w:iCs/>
        </w:rPr>
        <w:t>Convention Against Torture and Other Cruel, Inhuman and Degrading Treatment or Punishment</w:t>
      </w:r>
      <w:r w:rsidR="00B74ADD" w:rsidRPr="0091262D">
        <w:rPr>
          <w:rStyle w:val="FootnoteReference"/>
        </w:rPr>
        <w:footnoteReference w:id="37"/>
      </w:r>
      <w:r w:rsidR="00D70A61" w:rsidRPr="6D69D0D5">
        <w:rPr>
          <w:i/>
          <w:iCs/>
        </w:rPr>
        <w:t xml:space="preserve"> </w:t>
      </w:r>
      <w:r w:rsidR="00D70A61">
        <w:t>defines torture as:</w:t>
      </w:r>
    </w:p>
    <w:p w14:paraId="50016C1E" w14:textId="3564FAD0" w:rsidR="00D70A61" w:rsidRPr="007D613A" w:rsidRDefault="00311DE6" w:rsidP="007D613A">
      <w:pPr>
        <w:pStyle w:val="Blockquote"/>
      </w:pPr>
      <w:r w:rsidRPr="007D613A">
        <w:t>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p>
    <w:p w14:paraId="02E81A91" w14:textId="181626B4" w:rsidR="00311DE6" w:rsidRDefault="0033730B" w:rsidP="008B22BC">
      <w:r>
        <w:lastRenderedPageBreak/>
        <w:t>Cruel, inhuman and d</w:t>
      </w:r>
      <w:r w:rsidR="00785991">
        <w:t xml:space="preserve">egrading treatment, by contrast, is lower than the standard </w:t>
      </w:r>
      <w:r w:rsidR="002F0945">
        <w:t xml:space="preserve">of </w:t>
      </w:r>
      <w:r>
        <w:t xml:space="preserve">torture, but still carries </w:t>
      </w:r>
      <w:r w:rsidR="007C0DAF">
        <w:t>a minimum level of severity.</w:t>
      </w:r>
      <w:r w:rsidR="007C0DAF" w:rsidRPr="0091262D">
        <w:rPr>
          <w:rStyle w:val="FootnoteReference"/>
        </w:rPr>
        <w:footnoteReference w:id="38"/>
      </w:r>
      <w:r w:rsidR="6D69D0D5">
        <w:t xml:space="preserve"> The line over what constitutes “treatment” can be contested and you should seek legal advice if you are uncertain.</w:t>
      </w:r>
      <w:r w:rsidR="00677A39" w:rsidRPr="0091262D">
        <w:rPr>
          <w:rStyle w:val="FootnoteReference"/>
        </w:rPr>
        <w:footnoteReference w:id="39"/>
      </w:r>
      <w:r w:rsidR="6D69D0D5">
        <w:t xml:space="preserve"> </w:t>
      </w:r>
    </w:p>
    <w:p w14:paraId="2A96EC6C" w14:textId="0724125E" w:rsidR="00D64B49" w:rsidRDefault="00301FC2" w:rsidP="00F04EDD">
      <w:pPr>
        <w:pStyle w:val="Heading2-report"/>
      </w:pPr>
      <w:r>
        <w:t>When could this arise in your work?</w:t>
      </w:r>
    </w:p>
    <w:p w14:paraId="538FA31D" w14:textId="77777777" w:rsidR="00301FC2" w:rsidRDefault="001F750F">
      <w:r>
        <w:t xml:space="preserve">There are several issues that can engage and possibly breach this right. </w:t>
      </w:r>
    </w:p>
    <w:p w14:paraId="2CBCBF3F" w14:textId="0DE152E1" w:rsidR="00301FC2" w:rsidRDefault="6D69D0D5" w:rsidP="00705BED">
      <w:pPr>
        <w:pStyle w:val="Heading3-report"/>
      </w:pPr>
      <w:r>
        <w:t>In services or settings with poor conditions where people are forcibly detained</w:t>
      </w:r>
    </w:p>
    <w:p w14:paraId="52B98CA9" w14:textId="1AFD0E91" w:rsidR="00561548" w:rsidRDefault="00301FC2">
      <w:r>
        <w:t xml:space="preserve">Wherever there are closed environments where force is used, there is a chance that this right may be limited or breached. </w:t>
      </w:r>
      <w:r w:rsidR="00561548">
        <w:t>As a policy-maker, you should be confident that your policy settings do enough to prevent people from being kept in poor conditions that may amount to degrading treatment.</w:t>
      </w:r>
      <w:r w:rsidR="0080511D">
        <w:t xml:space="preserve"> You should also consider whether there are ways someone can get appropriate care outside these closed environments.</w:t>
      </w:r>
    </w:p>
    <w:p w14:paraId="2AFC42F0" w14:textId="58513A26" w:rsidR="00561548" w:rsidRDefault="00561548" w:rsidP="00705BED">
      <w:pPr>
        <w:pStyle w:val="Heading3-report"/>
      </w:pPr>
      <w:r>
        <w:t>Where there is a use of force</w:t>
      </w:r>
    </w:p>
    <w:p w14:paraId="174A7389" w14:textId="6D95469F" w:rsidR="00561548" w:rsidRDefault="6D69D0D5">
      <w:r>
        <w:t xml:space="preserve">The use of force is permitted in some circumstances under mental health </w:t>
      </w:r>
      <w:r w:rsidR="006908D6">
        <w:t xml:space="preserve">and other </w:t>
      </w:r>
      <w:r>
        <w:t>laws. However, this right will be more likely to be breached if any use of force is disproportionate</w:t>
      </w:r>
      <w:r w:rsidR="00106C18">
        <w:t>.</w:t>
      </w:r>
      <w:r w:rsidR="00106C18" w:rsidRPr="0091262D">
        <w:rPr>
          <w:rStyle w:val="FootnoteReference"/>
        </w:rPr>
        <w:footnoteReference w:id="40"/>
      </w:r>
      <w:r w:rsidR="00CE228F">
        <w:t xml:space="preserve"> The use of prolonged solitary confinement may violate this right</w:t>
      </w:r>
      <w:r w:rsidR="00B21EFE">
        <w:t>.</w:t>
      </w:r>
      <w:r w:rsidR="00B21EFE" w:rsidRPr="0091262D">
        <w:rPr>
          <w:rStyle w:val="FootnoteReference"/>
        </w:rPr>
        <w:footnoteReference w:id="41"/>
      </w:r>
      <w:r w:rsidR="00EA11ED">
        <w:t xml:space="preserve"> </w:t>
      </w:r>
      <w:r>
        <w:t>In promoting this right, you might ask what you have done to ensure that these practices are eliminated or used as a last resort.</w:t>
      </w:r>
    </w:p>
    <w:p w14:paraId="7083A72E" w14:textId="17BDF90E" w:rsidR="00561548" w:rsidRDefault="00561548" w:rsidP="00705BED">
      <w:pPr>
        <w:pStyle w:val="Heading3-report"/>
      </w:pPr>
      <w:r>
        <w:t>Health and other care in closed environments</w:t>
      </w:r>
    </w:p>
    <w:p w14:paraId="19253E1C" w14:textId="53214324" w:rsidR="00677A39" w:rsidRDefault="6D69D0D5">
      <w:r>
        <w:t xml:space="preserve">In closed environments such as mental health inpatient units or prisons, people still have a right to adequate healthcare. </w:t>
      </w:r>
      <w:r w:rsidR="00270D8D">
        <w:t>T</w:t>
      </w:r>
      <w:r w:rsidR="00EA11ED">
        <w:t>he failure to provide adequate health</w:t>
      </w:r>
      <w:r w:rsidR="00F34BD0">
        <w:t xml:space="preserve"> </w:t>
      </w:r>
      <w:r w:rsidR="00EA11ED">
        <w:t>care in closed environments might also violate this right.</w:t>
      </w:r>
      <w:r w:rsidR="00EA11ED" w:rsidRPr="0091262D">
        <w:rPr>
          <w:rStyle w:val="FootnoteReference"/>
        </w:rPr>
        <w:footnoteReference w:id="42"/>
      </w:r>
      <w:r w:rsidR="00270D8D">
        <w:t xml:space="preserve"> </w:t>
      </w:r>
      <w:r>
        <w:t xml:space="preserve"> Mental health consumers may die up to 30 years younger than the general population.</w:t>
      </w:r>
      <w:r w:rsidR="00677A39" w:rsidRPr="0091262D">
        <w:rPr>
          <w:rStyle w:val="FootnoteReference"/>
        </w:rPr>
        <w:footnoteReference w:id="43"/>
      </w:r>
      <w:r>
        <w:t xml:space="preserve"> Some of this inequity may relate to the access to, and adequacy of, healthcare in these environments. Therefore, you may need to consider whether your policy settings are enabling people in these settings to have access to adequate healthcare.</w:t>
      </w:r>
    </w:p>
    <w:p w14:paraId="6254FF3D" w14:textId="5602BD05" w:rsidR="00677A39" w:rsidRDefault="00677A39" w:rsidP="00705BED">
      <w:pPr>
        <w:pStyle w:val="Heading2-report"/>
      </w:pPr>
      <w:r>
        <w:lastRenderedPageBreak/>
        <w:t>What about mental health laws and this right?</w:t>
      </w:r>
    </w:p>
    <w:p w14:paraId="1A695553" w14:textId="5D92C412" w:rsidR="00677A39" w:rsidRDefault="00254D1A" w:rsidP="00677A39">
      <w:r>
        <w:t>Despite their tension and likely incompatibility with international human rights law,</w:t>
      </w:r>
      <w:r w:rsidR="00DE26D2" w:rsidRPr="0091262D">
        <w:rPr>
          <w:rStyle w:val="FootnoteReference"/>
        </w:rPr>
        <w:footnoteReference w:id="44"/>
      </w:r>
      <w:r>
        <w:t xml:space="preserve"> mental health laws in Victoria permit the use of compulsory mental health treatment. </w:t>
      </w:r>
      <w:r w:rsidR="00270530">
        <w:t>In Parliament’s view, the</w:t>
      </w:r>
      <w:r w:rsidR="00D40D13">
        <w:t xml:space="preserve"> use </w:t>
      </w:r>
      <w:r w:rsidR="001D16EF">
        <w:t xml:space="preserve">of compulsory treatment </w:t>
      </w:r>
      <w:r w:rsidR="00D40D13">
        <w:t xml:space="preserve">by qualified mental health practitioners and </w:t>
      </w:r>
      <w:r w:rsidR="00ED03EC">
        <w:t xml:space="preserve">regulatory oversight make them a proportionate response to risks to health and safety that they state arises from </w:t>
      </w:r>
      <w:r w:rsidR="002E312F">
        <w:t>mental illness.</w:t>
      </w:r>
      <w:r w:rsidR="006121F3" w:rsidRPr="0091262D">
        <w:rPr>
          <w:rStyle w:val="FootnoteReference"/>
        </w:rPr>
        <w:footnoteReference w:id="45"/>
      </w:r>
      <w:r>
        <w:t xml:space="preserve"> Therefore, where a treatment order has corresponded to the criteria set out under mental health laws to authorise that treatment, it will likely be deemed a proportionate limitation on this right under the Charter.</w:t>
      </w:r>
      <w:r w:rsidRPr="0091262D">
        <w:rPr>
          <w:rStyle w:val="FootnoteReference"/>
        </w:rPr>
        <w:footnoteReference w:id="46"/>
      </w:r>
    </w:p>
    <w:tbl>
      <w:tblPr>
        <w:tblStyle w:val="TableGrid"/>
        <w:tblW w:w="0" w:type="auto"/>
        <w:tblLook w:val="04A0" w:firstRow="1" w:lastRow="0" w:firstColumn="1" w:lastColumn="0" w:noHBand="0" w:noVBand="1"/>
      </w:tblPr>
      <w:tblGrid>
        <w:gridCol w:w="9026"/>
      </w:tblGrid>
      <w:tr w:rsidR="00677A39" w14:paraId="0855638E" w14:textId="77777777" w:rsidTr="6D69D0D5">
        <w:tc>
          <w:tcPr>
            <w:tcW w:w="9060" w:type="dxa"/>
            <w:tcBorders>
              <w:top w:val="thickThinSmallGap" w:sz="24" w:space="0" w:color="201547"/>
              <w:left w:val="nil"/>
              <w:bottom w:val="thickThinSmallGap" w:sz="24" w:space="0" w:color="201547"/>
              <w:right w:val="nil"/>
            </w:tcBorders>
            <w:shd w:val="clear" w:color="auto" w:fill="F2F2F2" w:themeFill="background1" w:themeFillShade="F2"/>
          </w:tcPr>
          <w:p w14:paraId="55FB0680" w14:textId="76B54B4D" w:rsidR="00677A39" w:rsidRPr="0059498D" w:rsidRDefault="00677A39" w:rsidP="00F04EDD">
            <w:pPr>
              <w:pStyle w:val="Heading3-report"/>
            </w:pPr>
            <w:r>
              <w:t>What can you do about compulsory treatment and human rights?</w:t>
            </w:r>
          </w:p>
          <w:p w14:paraId="1A3542EE" w14:textId="0482BDEA" w:rsidR="00677A39" w:rsidRDefault="6D69D0D5" w:rsidP="004F4360">
            <w:r>
              <w:t>As a public servant, you don’t decide on mental health laws. However, there are things you can do to promote this right</w:t>
            </w:r>
            <w:r w:rsidR="008324C4">
              <w:t xml:space="preserve"> to protection from </w:t>
            </w:r>
            <w:r w:rsidR="008324C4" w:rsidRPr="00C8471D">
              <w:rPr>
                <w:color w:val="FFFFFF" w:themeColor="background1"/>
              </w:rPr>
              <w:t>torture and cruel, inhuman or degrading treatment</w:t>
            </w:r>
            <w:r>
              <w:t>. One way to promote this right is to do everything possible to limit the use of compulsory treatment—to ensure that it is a measure of last resort, and to assist the elimination of restrictive practices. Think of the ways that you can ensure people have access to voluntary non-coercive services and how you can incentivise the use of voluntary measures when someone is in an inpatient unit.</w:t>
            </w:r>
          </w:p>
        </w:tc>
      </w:tr>
    </w:tbl>
    <w:p w14:paraId="6CCA1AC3" w14:textId="77777777" w:rsidR="00677A39" w:rsidRDefault="00677A39"/>
    <w:p w14:paraId="71BB0C28" w14:textId="7B8847EC" w:rsidR="005F068B" w:rsidRDefault="00677A39" w:rsidP="00F04EDD">
      <w:pPr>
        <w:pStyle w:val="Heading2-report"/>
      </w:pPr>
      <w:r>
        <w:t>When can this right be limited?</w:t>
      </w:r>
    </w:p>
    <w:p w14:paraId="06C23B9F" w14:textId="77777777" w:rsidR="00DA1343" w:rsidRDefault="004609E0" w:rsidP="00DA1343">
      <w:pPr>
        <w:sectPr w:rsidR="00DA1343" w:rsidSect="00DA1343">
          <w:pgSz w:w="11906" w:h="16838"/>
          <w:pgMar w:top="1418" w:right="1440" w:bottom="1418" w:left="1440" w:header="709" w:footer="709" w:gutter="0"/>
          <w:cols w:space="708"/>
          <w:titlePg/>
          <w:docGrid w:linePitch="360"/>
        </w:sectPr>
      </w:pPr>
      <w:r>
        <w:t>Under the</w:t>
      </w:r>
      <w:r w:rsidR="00C33300">
        <w:t xml:space="preserve"> ICCPR</w:t>
      </w:r>
      <w:r w:rsidR="00CC6C4D" w:rsidRPr="0091262D">
        <w:rPr>
          <w:rStyle w:val="FootnoteReference"/>
        </w:rPr>
        <w:footnoteReference w:id="47"/>
      </w:r>
      <w:r w:rsidR="00CC6C4D" w:rsidRPr="00C33300">
        <w:t xml:space="preserve"> </w:t>
      </w:r>
      <w:r w:rsidRPr="00C33300">
        <w:t>the</w:t>
      </w:r>
      <w:r>
        <w:t xml:space="preserve"> protection against torture is a ‘non-derogable’ right, meaning that it cannot be limited under any circumstances. </w:t>
      </w:r>
      <w:r w:rsidR="00B64028">
        <w:t>T</w:t>
      </w:r>
      <w:r>
        <w:t>he Charter does not make this distinction between rights. Instead, all rights, including the right of protection against torture, are able to be limited under section 7(2) of the Charter.</w:t>
      </w:r>
      <w:r w:rsidR="00525C66" w:rsidRPr="0091262D">
        <w:rPr>
          <w:rStyle w:val="FootnoteReference"/>
        </w:rPr>
        <w:footnoteReference w:id="48"/>
      </w:r>
      <w:r w:rsidR="00B64028">
        <w:t xml:space="preserve"> </w:t>
      </w:r>
      <w:r w:rsidR="00B64028" w:rsidRPr="00DA1343">
        <w:t>However</w:t>
      </w:r>
      <w:r w:rsidR="00B64028">
        <w:t xml:space="preserve">, we note that there are unlikely to be any circumstances in which torture would be a reasonable and proportionate limitation </w:t>
      </w:r>
      <w:r w:rsidR="00D91F14">
        <w:t>on Charter rights when applying the test in section 7(2) in practice.</w:t>
      </w:r>
    </w:p>
    <w:p w14:paraId="0D58354F" w14:textId="16C68DAD" w:rsidR="00CB59CE" w:rsidRDefault="00CB59CE" w:rsidP="00CB59CE">
      <w:pPr>
        <w:pStyle w:val="Heading1-report"/>
        <w:spacing w:before="0"/>
      </w:pPr>
      <w:r>
        <w:rPr>
          <w:noProof/>
        </w:rPr>
        <w:lastRenderedPageBreak/>
        <mc:AlternateContent>
          <mc:Choice Requires="wps">
            <w:drawing>
              <wp:anchor distT="0" distB="0" distL="114300" distR="114300" simplePos="0" relativeHeight="251658262" behindDoc="1" locked="0" layoutInCell="1" allowOverlap="1" wp14:anchorId="7DA5041A" wp14:editId="72EEC5A4">
                <wp:simplePos x="0" y="0"/>
                <wp:positionH relativeFrom="page">
                  <wp:align>left</wp:align>
                </wp:positionH>
                <wp:positionV relativeFrom="paragraph">
                  <wp:posOffset>-901811</wp:posOffset>
                </wp:positionV>
                <wp:extent cx="10693593" cy="8142859"/>
                <wp:effectExtent l="0" t="0" r="12700" b="10795"/>
                <wp:wrapNone/>
                <wp:docPr id="212" name="Rectangle 212"/>
                <wp:cNvGraphicFramePr/>
                <a:graphic xmlns:a="http://schemas.openxmlformats.org/drawingml/2006/main">
                  <a:graphicData uri="http://schemas.microsoft.com/office/word/2010/wordprocessingShape">
                    <wps:wsp>
                      <wps:cNvSpPr/>
                      <wps:spPr>
                        <a:xfrm>
                          <a:off x="0" y="0"/>
                          <a:ext cx="10693593" cy="8142859"/>
                        </a:xfrm>
                        <a:prstGeom prst="rect">
                          <a:avLst/>
                        </a:prstGeom>
                        <a:solidFill>
                          <a:srgbClr val="D0E8E9"/>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C846A1" w14:textId="77777777" w:rsidR="00CB59CE" w:rsidRDefault="00CB59CE" w:rsidP="00CB59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5041A" id="Rectangle 212" o:spid="_x0000_s1033" style="position:absolute;margin-left:0;margin-top:-71pt;width:842pt;height:641.15pt;z-index:-25165821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" fillcolor="#d0e8e9" strokecolor="#1b383a [1604]" strokeweight="1pt">
                <v:textbox>
                  <w:txbxContent>
                    <w:p w14:paraId="21C846A1" w14:textId="77777777" w:rsidR="00CB59CE" w:rsidRDefault="00CB59CE" w:rsidP="00CB59CE">
                      <w:pPr>
                        <w:jc w:val="center"/>
                      </w:pPr>
                    </w:p>
                  </w:txbxContent>
                </v:textbox>
                <w10:wrap anchorx="page"/>
              </v:rect>
            </w:pict>
          </mc:Fallback>
        </mc:AlternateContent>
      </w:r>
      <w:r>
        <w:t>TAKE-HOMES: PROTECTION FROM TORTURE &amp; DEGRADING TREATMENT</w:t>
      </w:r>
    </w:p>
    <w:tbl>
      <w:tblPr>
        <w:tblStyle w:val="TableGridLight"/>
        <w:tblW w:w="15446" w:type="dxa"/>
        <w:tblCellMar>
          <w:bottom w:w="284" w:type="dxa"/>
        </w:tblCellMar>
        <w:tblLook w:val="04A0" w:firstRow="1" w:lastRow="0" w:firstColumn="1" w:lastColumn="0" w:noHBand="0" w:noVBand="1"/>
      </w:tblPr>
      <w:tblGrid>
        <w:gridCol w:w="1056"/>
        <w:gridCol w:w="5832"/>
        <w:gridCol w:w="1056"/>
        <w:gridCol w:w="7502"/>
      </w:tblGrid>
      <w:tr w:rsidR="00CB59CE" w14:paraId="6F320B50" w14:textId="77777777" w:rsidTr="6D69D0D5">
        <w:tc>
          <w:tcPr>
            <w:tcW w:w="1056" w:type="dxa"/>
          </w:tcPr>
          <w:p w14:paraId="0C01C436" w14:textId="77777777" w:rsidR="00CB59CE" w:rsidRDefault="00CB59CE" w:rsidP="004F4360">
            <w:r>
              <w:rPr>
                <w:noProof/>
              </w:rPr>
              <w:drawing>
                <wp:inline distT="0" distB="0" distL="0" distR="0" wp14:anchorId="6AF2EE38" wp14:editId="04A9C917">
                  <wp:extent cx="526774" cy="526774"/>
                  <wp:effectExtent l="0" t="0" r="6985" b="6985"/>
                  <wp:docPr id="213" name="Graphic 213"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5832" w:type="dxa"/>
          </w:tcPr>
          <w:p w14:paraId="3AD0FB0C" w14:textId="49442B12" w:rsidR="00CB59CE" w:rsidRDefault="005F209B" w:rsidP="004F4360">
            <w:pPr>
              <w:pStyle w:val="Heading3-report"/>
            </w:pPr>
            <w:r>
              <w:t>Prioritise funding of services that provide less restrictive forms of care</w:t>
            </w:r>
          </w:p>
          <w:p w14:paraId="7E3BD45F" w14:textId="6FDD8928" w:rsidR="00CB59CE" w:rsidRPr="007A1180" w:rsidRDefault="005F209B" w:rsidP="004F4360">
            <w:r>
              <w:rPr>
                <w:sz w:val="22"/>
                <w:szCs w:val="20"/>
              </w:rPr>
              <w:t xml:space="preserve">In the commissioning of services, </w:t>
            </w:r>
            <w:r w:rsidR="00C50967">
              <w:rPr>
                <w:sz w:val="22"/>
                <w:szCs w:val="20"/>
              </w:rPr>
              <w:t>greater consideration should be given to mental health services and supports that can provide</w:t>
            </w:r>
            <w:r w:rsidR="00F539C9">
              <w:rPr>
                <w:sz w:val="22"/>
                <w:szCs w:val="20"/>
              </w:rPr>
              <w:t xml:space="preserve"> non-coerciv</w:t>
            </w:r>
            <w:r w:rsidR="00155298">
              <w:rPr>
                <w:sz w:val="22"/>
                <w:szCs w:val="20"/>
              </w:rPr>
              <w:t xml:space="preserve">e options. In further developing commissioning standards with the Regional Mental Health and Wellbeing Boards, you </w:t>
            </w:r>
            <w:r w:rsidR="009A5C8D">
              <w:rPr>
                <w:sz w:val="22"/>
                <w:szCs w:val="20"/>
              </w:rPr>
              <w:t>should consider how to prioritise these forms of care as they reduce the likelihood of rights breaches.</w:t>
            </w:r>
          </w:p>
        </w:tc>
        <w:tc>
          <w:tcPr>
            <w:tcW w:w="1056" w:type="dxa"/>
          </w:tcPr>
          <w:p w14:paraId="584F389F" w14:textId="77777777" w:rsidR="00CB59CE" w:rsidRDefault="00CB59CE" w:rsidP="004F4360">
            <w:r>
              <w:rPr>
                <w:noProof/>
              </w:rPr>
              <w:drawing>
                <wp:inline distT="0" distB="0" distL="0" distR="0" wp14:anchorId="00943CD1" wp14:editId="51EDE003">
                  <wp:extent cx="526774" cy="526774"/>
                  <wp:effectExtent l="0" t="0" r="6985" b="6985"/>
                  <wp:docPr id="214" name="Graphic 214"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7502" w:type="dxa"/>
          </w:tcPr>
          <w:p w14:paraId="42ED7C96" w14:textId="363C1049" w:rsidR="00CB59CE" w:rsidRDefault="6D69D0D5" w:rsidP="005F0F89">
            <w:pPr>
              <w:pStyle w:val="Heading3-report"/>
            </w:pPr>
            <w:r>
              <w:t>Utilise departmental levers to incentivise a reduction and elimination of certain practices</w:t>
            </w:r>
          </w:p>
          <w:p w14:paraId="04ACAB3E" w14:textId="441B19C4" w:rsidR="006E18DF" w:rsidRPr="006E18DF" w:rsidRDefault="6D69D0D5" w:rsidP="006E18DF">
            <w:r>
              <w:t>Restrictive practices, search procedures and other involuntary measures such as compulsory treatment can cause serious mental and physical suffering and humiliation. The Department should utilise its levers as a systems steward – including the development of commissioning standards, Chief Mental Health Officer standards, and the publishing of performance data – to reduce and eliminate these practices. No single lever will be sufficient to achieve reductions and elimination, but all will be necessary.</w:t>
            </w:r>
          </w:p>
        </w:tc>
      </w:tr>
      <w:tr w:rsidR="00CB59CE" w14:paraId="54FC619B" w14:textId="77777777" w:rsidTr="6D69D0D5">
        <w:tc>
          <w:tcPr>
            <w:tcW w:w="1056" w:type="dxa"/>
            <w:shd w:val="clear" w:color="auto" w:fill="auto"/>
          </w:tcPr>
          <w:p w14:paraId="6DE8F931" w14:textId="77777777" w:rsidR="00CB59CE" w:rsidRDefault="00CB59CE" w:rsidP="004F4360">
            <w:r>
              <w:rPr>
                <w:noProof/>
              </w:rPr>
              <w:drawing>
                <wp:inline distT="0" distB="0" distL="0" distR="0" wp14:anchorId="2DB7B4E0" wp14:editId="7BA2B5E3">
                  <wp:extent cx="526774" cy="526774"/>
                  <wp:effectExtent l="0" t="0" r="6985" b="6985"/>
                  <wp:docPr id="215" name="Graphic 215"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5832" w:type="dxa"/>
          </w:tcPr>
          <w:p w14:paraId="1DACB3D4" w14:textId="3B594054" w:rsidR="00CB59CE" w:rsidRDefault="00672354" w:rsidP="004F4360">
            <w:pPr>
              <w:pStyle w:val="Heading3-report"/>
            </w:pPr>
            <w:r>
              <w:t>Develop standards that monitor conditions in closed environments</w:t>
            </w:r>
          </w:p>
          <w:p w14:paraId="057B9C91" w14:textId="3037E2D3" w:rsidR="00CB59CE" w:rsidRPr="008274CA" w:rsidRDefault="00F45664" w:rsidP="004F4360">
            <w:r>
              <w:t xml:space="preserve">Ensure that the Chief Psychiatrist </w:t>
            </w:r>
            <w:r w:rsidR="004B4B03">
              <w:t xml:space="preserve">or Chief Mental Health Officer </w:t>
            </w:r>
            <w:r>
              <w:t xml:space="preserve">develops and monitors </w:t>
            </w:r>
            <w:r w:rsidR="001877FC">
              <w:t xml:space="preserve">standards within closed environments. </w:t>
            </w:r>
            <w:r w:rsidR="00AC2523">
              <w:t>These include both the general living conditions in that environment, as well as the standard of mental health care and general healthcare.</w:t>
            </w:r>
          </w:p>
        </w:tc>
        <w:tc>
          <w:tcPr>
            <w:tcW w:w="1056" w:type="dxa"/>
          </w:tcPr>
          <w:p w14:paraId="72322444" w14:textId="1BFFD131" w:rsidR="00CB59CE" w:rsidRDefault="00FC609F" w:rsidP="004F4360">
            <w:r>
              <w:rPr>
                <w:noProof/>
              </w:rPr>
              <w:drawing>
                <wp:inline distT="0" distB="0" distL="0" distR="0" wp14:anchorId="40090A2F" wp14:editId="35D88E8F">
                  <wp:extent cx="526774" cy="526774"/>
                  <wp:effectExtent l="0" t="0" r="6985" b="6985"/>
                  <wp:docPr id="219" name="Graphic 219"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7502" w:type="dxa"/>
          </w:tcPr>
          <w:p w14:paraId="477234EB" w14:textId="510AA928" w:rsidR="00FC609F" w:rsidRDefault="00FC609F" w:rsidP="00FC609F">
            <w:pPr>
              <w:pStyle w:val="Heading3-report"/>
            </w:pPr>
            <w:r>
              <w:t>Investigate possible breaches</w:t>
            </w:r>
            <w:r w:rsidR="004A5A4E">
              <w:t xml:space="preserve"> and enforce action to address the</w:t>
            </w:r>
            <w:r w:rsidR="002A468C">
              <w:t>m</w:t>
            </w:r>
          </w:p>
          <w:p w14:paraId="69B4B7CF" w14:textId="057F1947" w:rsidR="00CB59CE" w:rsidRPr="00796694" w:rsidRDefault="6D69D0D5" w:rsidP="6D69D0D5">
            <w:r w:rsidRPr="6D69D0D5">
              <w:rPr>
                <w:sz w:val="22"/>
              </w:rPr>
              <w:t>It will be important for the relevant agencies, including the Chief Psychiatrist,</w:t>
            </w:r>
            <w:r w:rsidR="004967F6">
              <w:rPr>
                <w:sz w:val="22"/>
              </w:rPr>
              <w:t xml:space="preserve"> </w:t>
            </w:r>
            <w:r w:rsidRPr="6D69D0D5">
              <w:rPr>
                <w:sz w:val="22"/>
              </w:rPr>
              <w:t>the Mental Health and Wellbeing Commission, and, where applicable, the police or the Independent Broad-based Anti-corruption Commission, to investigate possible breaches of this right. Appropriate resolution and enforcement actions are needed where there is a breach of this right.</w:t>
            </w:r>
          </w:p>
        </w:tc>
      </w:tr>
    </w:tbl>
    <w:p w14:paraId="5921DA3C" w14:textId="77777777" w:rsidR="00904557" w:rsidRDefault="00904557">
      <w:pPr>
        <w:sectPr w:rsidR="00904557" w:rsidSect="00904557">
          <w:pgSz w:w="16838" w:h="11906" w:orient="landscape"/>
          <w:pgMar w:top="720" w:right="720" w:bottom="720" w:left="720" w:header="708" w:footer="708" w:gutter="0"/>
          <w:cols w:space="708"/>
          <w:titlePg/>
          <w:docGrid w:linePitch="360"/>
        </w:sectPr>
      </w:pPr>
    </w:p>
    <w:p w14:paraId="54158548" w14:textId="09A7149D" w:rsidR="001C338F" w:rsidRDefault="000D3EBB" w:rsidP="001C338F">
      <w:pPr>
        <w:widowControl w:val="0"/>
        <w:rPr>
          <w:color w:val="FFFFFF" w:themeColor="background1"/>
          <w:sz w:val="72"/>
          <w:szCs w:val="72"/>
        </w:rPr>
      </w:pPr>
      <w:r w:rsidRPr="00D31476">
        <w:rPr>
          <w:noProof/>
          <w:color w:val="FFFFFF" w:themeColor="background1"/>
          <w:sz w:val="16"/>
          <w:szCs w:val="16"/>
        </w:rPr>
        <w:lastRenderedPageBreak/>
        <mc:AlternateContent>
          <mc:Choice Requires="wps">
            <w:drawing>
              <wp:anchor distT="0" distB="0" distL="114300" distR="114300" simplePos="0" relativeHeight="251658308" behindDoc="1" locked="0" layoutInCell="1" allowOverlap="1" wp14:anchorId="1A7EF0F8" wp14:editId="47C0841C">
                <wp:simplePos x="0" y="0"/>
                <wp:positionH relativeFrom="page">
                  <wp:posOffset>-138545</wp:posOffset>
                </wp:positionH>
                <wp:positionV relativeFrom="paragraph">
                  <wp:posOffset>-914400</wp:posOffset>
                </wp:positionV>
                <wp:extent cx="7841672" cy="17016095"/>
                <wp:effectExtent l="0" t="0" r="26035" b="14605"/>
                <wp:wrapNone/>
                <wp:docPr id="2098995651" name="Rectangle 2098995651"/>
                <wp:cNvGraphicFramePr/>
                <a:graphic xmlns:a="http://schemas.openxmlformats.org/drawingml/2006/main">
                  <a:graphicData uri="http://schemas.microsoft.com/office/word/2010/wordprocessingShape">
                    <wps:wsp>
                      <wps:cNvSpPr/>
                      <wps:spPr>
                        <a:xfrm>
                          <a:off x="0" y="0"/>
                          <a:ext cx="7841672" cy="17016095"/>
                        </a:xfrm>
                        <a:prstGeom prst="rect">
                          <a:avLst/>
                        </a:prstGeom>
                        <a:solidFill>
                          <a:srgbClr val="20154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E26C263" id="Rectangle 2098995651" o:spid="_x0000_s1026" style="position:absolute;margin-left:-10.9pt;margin-top:-1in;width:617.45pt;height:1339.85pt;z-index:-2516581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" fillcolor="#201547" strokecolor="#1b383a [1604]" strokeweight="1pt">
                <w10:wrap anchorx="page"/>
              </v:rect>
            </w:pict>
          </mc:Fallback>
        </mc:AlternateContent>
      </w:r>
      <w:r w:rsidR="005469C3">
        <w:rPr>
          <w:b/>
          <w:bCs/>
          <w:noProof/>
          <w:sz w:val="26"/>
          <w:szCs w:val="26"/>
        </w:rPr>
        <w:drawing>
          <wp:anchor distT="0" distB="0" distL="114300" distR="114300" simplePos="0" relativeHeight="251658311" behindDoc="0" locked="0" layoutInCell="1" allowOverlap="1" wp14:anchorId="6018A245" wp14:editId="4BE6132D">
            <wp:simplePos x="0" y="0"/>
            <wp:positionH relativeFrom="margin">
              <wp:posOffset>-190500</wp:posOffset>
            </wp:positionH>
            <wp:positionV relativeFrom="paragraph">
              <wp:posOffset>-335280</wp:posOffset>
            </wp:positionV>
            <wp:extent cx="914400" cy="914400"/>
            <wp:effectExtent l="0" t="0" r="0" b="0"/>
            <wp:wrapNone/>
            <wp:docPr id="3" name="Graphic 3"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Raised hand with solid fill"/>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914400" cy="914400"/>
                    </a:xfrm>
                    <a:prstGeom prst="rect">
                      <a:avLst/>
                    </a:prstGeom>
                  </pic:spPr>
                </pic:pic>
              </a:graphicData>
            </a:graphic>
          </wp:anchor>
        </w:drawing>
      </w:r>
    </w:p>
    <w:p w14:paraId="58A6F5F8" w14:textId="395A0100" w:rsidR="001C338F" w:rsidRPr="000616E7" w:rsidRDefault="001C338F" w:rsidP="001C338F">
      <w:pPr>
        <w:pStyle w:val="Heading2-report"/>
        <w:rPr>
          <w:color w:val="FFFFFF" w:themeColor="background1"/>
          <w:sz w:val="72"/>
          <w:szCs w:val="72"/>
        </w:rPr>
      </w:pPr>
      <w:r w:rsidRPr="6D69D0D5">
        <w:rPr>
          <w:color w:val="FFFFFF" w:themeColor="background1"/>
          <w:sz w:val="72"/>
          <w:szCs w:val="72"/>
        </w:rPr>
        <w:t>COMPULSORY TREATMENT AND HUMAN RIGHTS</w:t>
      </w:r>
    </w:p>
    <w:p w14:paraId="18370AA1" w14:textId="77777777" w:rsidR="001C338F" w:rsidRDefault="001C338F" w:rsidP="001C338F">
      <w:pPr>
        <w:rPr>
          <w:b/>
          <w:bCs/>
          <w:color w:val="FFFFFF" w:themeColor="background1"/>
          <w:sz w:val="26"/>
          <w:szCs w:val="26"/>
        </w:rPr>
      </w:pPr>
      <w:r>
        <w:rPr>
          <w:b/>
          <w:bCs/>
          <w:color w:val="FFFFFF" w:themeColor="background1"/>
          <w:sz w:val="26"/>
          <w:szCs w:val="26"/>
        </w:rPr>
        <w:t>COMPULSORY MENTAL HEALTH TREATMENT ENGAGES INTERNATIONAL HUMAN RIGHTS LAW AND THE CHARTER</w:t>
      </w:r>
    </w:p>
    <w:p w14:paraId="129F8CAC" w14:textId="77777777" w:rsidR="001C338F" w:rsidRDefault="001C338F" w:rsidP="001C338F">
      <w:pPr>
        <w:rPr>
          <w:color w:val="FFFFFF" w:themeColor="background1"/>
        </w:rPr>
      </w:pPr>
      <w:r w:rsidRPr="6D69D0D5">
        <w:rPr>
          <w:color w:val="FFFFFF" w:themeColor="background1"/>
        </w:rPr>
        <w:t>As human rights are becoming a more prominent feature of the mental health and wellbeing system, so are debates over the legal status and merits of compulsory mental health treatment. Compulsory mental health treatment should be compared against international human rights standards as well as the Charter.</w:t>
      </w:r>
    </w:p>
    <w:p w14:paraId="0DE44F38" w14:textId="77777777" w:rsidR="001C338F" w:rsidRPr="000D3EBB" w:rsidRDefault="001C338F" w:rsidP="001C338F">
      <w:pPr>
        <w:rPr>
          <w:color w:val="FFFFFF" w:themeColor="background1"/>
        </w:rPr>
      </w:pPr>
      <w:r>
        <w:rPr>
          <w:color w:val="FFFFFF" w:themeColor="background1"/>
        </w:rPr>
        <w:t xml:space="preserve">While there is </w:t>
      </w:r>
      <w:r w:rsidRPr="000D3EBB">
        <w:rPr>
          <w:color w:val="FFFFFF" w:themeColor="background1"/>
        </w:rPr>
        <w:t>debate,</w:t>
      </w:r>
      <w:r w:rsidRPr="007D6A00">
        <w:rPr>
          <w:rStyle w:val="FootnoteReference"/>
          <w:color w:val="FFFFFF" w:themeColor="background1"/>
        </w:rPr>
        <w:footnoteReference w:id="49"/>
      </w:r>
      <w:r w:rsidRPr="000D3EBB">
        <w:rPr>
          <w:color w:val="FFFFFF" w:themeColor="background1"/>
        </w:rPr>
        <w:t xml:space="preserve"> many </w:t>
      </w:r>
      <w:r>
        <w:rPr>
          <w:color w:val="FFFFFF" w:themeColor="background1"/>
        </w:rPr>
        <w:t>prominent authorities argue that compulsory mental health treatment is incompatible with the CRPD</w:t>
      </w:r>
      <w:r w:rsidRPr="00BE49A4">
        <w:rPr>
          <w:color w:val="FFFFFF" w:themeColor="background1"/>
        </w:rPr>
        <w:t>.</w:t>
      </w:r>
      <w:r w:rsidRPr="007D6A00">
        <w:rPr>
          <w:rStyle w:val="FootnoteReference"/>
          <w:color w:val="FFFFFF" w:themeColor="background1"/>
        </w:rPr>
        <w:footnoteReference w:id="50"/>
      </w:r>
      <w:r w:rsidRPr="000D3EBB">
        <w:rPr>
          <w:color w:val="FFFFFF" w:themeColor="background1"/>
        </w:rPr>
        <w:t xml:space="preserve"> Australia</w:t>
      </w:r>
      <w:r>
        <w:rPr>
          <w:color w:val="FFFFFF" w:themeColor="background1"/>
        </w:rPr>
        <w:t xml:space="preserve">, having ratified the CRPD, must give effect to these standards in domestic legislation. However, it did, in ratifying the convention, make an ‘interpretative declaration’ that argued compulsory mental health treatment was permissible so long as it was subject to safeguards and </w:t>
      </w:r>
      <w:r w:rsidRPr="000D3EBB">
        <w:rPr>
          <w:color w:val="FFFFFF" w:themeColor="background1"/>
        </w:rPr>
        <w:t>oversight.</w:t>
      </w:r>
      <w:r w:rsidRPr="007D6A00">
        <w:rPr>
          <w:rStyle w:val="FootnoteReference"/>
          <w:color w:val="FFFFFF" w:themeColor="background1"/>
        </w:rPr>
        <w:footnoteReference w:id="51"/>
      </w:r>
    </w:p>
    <w:p w14:paraId="0ABFDBAF" w14:textId="77777777" w:rsidR="001C338F" w:rsidRDefault="001C338F" w:rsidP="001C338F">
      <w:pPr>
        <w:rPr>
          <w:color w:val="FFFFFF" w:themeColor="background1"/>
        </w:rPr>
      </w:pPr>
      <w:r>
        <w:rPr>
          <w:color w:val="FFFFFF" w:themeColor="background1"/>
        </w:rPr>
        <w:t>Under the Charter, compulsory mental health treatment engages and limits a range of rights. This includes the right to:</w:t>
      </w:r>
    </w:p>
    <w:p w14:paraId="7D5B6EDC" w14:textId="77777777" w:rsidR="001C338F" w:rsidRDefault="001C338F" w:rsidP="001C338F">
      <w:pPr>
        <w:pStyle w:val="ListParagraph"/>
        <w:numPr>
          <w:ilvl w:val="0"/>
          <w:numId w:val="36"/>
        </w:numPr>
        <w:rPr>
          <w:color w:val="FFFFFF" w:themeColor="background1"/>
        </w:rPr>
      </w:pPr>
      <w:r>
        <w:rPr>
          <w:color w:val="FFFFFF" w:themeColor="background1"/>
        </w:rPr>
        <w:t>equality (section 8)</w:t>
      </w:r>
    </w:p>
    <w:p w14:paraId="37B8E728" w14:textId="77777777" w:rsidR="001C338F" w:rsidRDefault="001C338F" w:rsidP="001C338F">
      <w:pPr>
        <w:pStyle w:val="ListParagraph"/>
        <w:numPr>
          <w:ilvl w:val="0"/>
          <w:numId w:val="36"/>
        </w:numPr>
        <w:rPr>
          <w:color w:val="FFFFFF" w:themeColor="background1"/>
        </w:rPr>
      </w:pPr>
      <w:r>
        <w:rPr>
          <w:color w:val="FFFFFF" w:themeColor="background1"/>
        </w:rPr>
        <w:t>be free from torture (section 10)</w:t>
      </w:r>
    </w:p>
    <w:p w14:paraId="4B88BF79" w14:textId="77777777" w:rsidR="001C338F" w:rsidRDefault="001C338F" w:rsidP="001C338F">
      <w:pPr>
        <w:pStyle w:val="ListParagraph"/>
        <w:numPr>
          <w:ilvl w:val="0"/>
          <w:numId w:val="36"/>
        </w:numPr>
        <w:rPr>
          <w:color w:val="FFFFFF" w:themeColor="background1"/>
        </w:rPr>
      </w:pPr>
      <w:r>
        <w:rPr>
          <w:color w:val="FFFFFF" w:themeColor="background1"/>
        </w:rPr>
        <w:t>privacy (section 13)</w:t>
      </w:r>
    </w:p>
    <w:p w14:paraId="58266BE8" w14:textId="77777777" w:rsidR="001C338F" w:rsidRDefault="001C338F" w:rsidP="001C338F">
      <w:pPr>
        <w:pStyle w:val="ListParagraph"/>
        <w:numPr>
          <w:ilvl w:val="0"/>
          <w:numId w:val="36"/>
        </w:numPr>
        <w:rPr>
          <w:color w:val="FFFFFF" w:themeColor="background1"/>
        </w:rPr>
      </w:pPr>
      <w:r>
        <w:rPr>
          <w:color w:val="FFFFFF" w:themeColor="background1"/>
        </w:rPr>
        <w:t>culture (19)</w:t>
      </w:r>
    </w:p>
    <w:p w14:paraId="55069326" w14:textId="77777777" w:rsidR="001C338F" w:rsidRDefault="001C338F" w:rsidP="001C338F">
      <w:pPr>
        <w:pStyle w:val="ListParagraph"/>
        <w:numPr>
          <w:ilvl w:val="0"/>
          <w:numId w:val="36"/>
        </w:numPr>
        <w:rPr>
          <w:color w:val="FFFFFF" w:themeColor="background1"/>
        </w:rPr>
      </w:pPr>
      <w:r>
        <w:rPr>
          <w:color w:val="FFFFFF" w:themeColor="background1"/>
        </w:rPr>
        <w:t>humane treatment when deprived of liberty (section 21)</w:t>
      </w:r>
    </w:p>
    <w:p w14:paraId="7847F9E9" w14:textId="77777777" w:rsidR="001C338F" w:rsidRDefault="001C338F" w:rsidP="001C338F">
      <w:pPr>
        <w:pStyle w:val="ListParagraph"/>
        <w:numPr>
          <w:ilvl w:val="0"/>
          <w:numId w:val="36"/>
        </w:numPr>
        <w:rPr>
          <w:color w:val="FFFFFF" w:themeColor="background1"/>
        </w:rPr>
      </w:pPr>
      <w:r>
        <w:rPr>
          <w:color w:val="FFFFFF" w:themeColor="background1"/>
        </w:rPr>
        <w:t>liberty and security of person (section 22).</w:t>
      </w:r>
    </w:p>
    <w:p w14:paraId="7C4B4911" w14:textId="3EAEDB6D" w:rsidR="001C338F" w:rsidRDefault="001C338F" w:rsidP="001C338F">
      <w:pPr>
        <w:rPr>
          <w:color w:val="FFFFFF" w:themeColor="background1"/>
        </w:rPr>
      </w:pPr>
      <w:r>
        <w:rPr>
          <w:color w:val="FFFFFF" w:themeColor="background1"/>
        </w:rPr>
        <w:t xml:space="preserve">The </w:t>
      </w:r>
      <w:r w:rsidR="00E1566E">
        <w:rPr>
          <w:color w:val="FFFFFF" w:themeColor="background1"/>
        </w:rPr>
        <w:t xml:space="preserve">Victorian </w:t>
      </w:r>
      <w:r>
        <w:rPr>
          <w:color w:val="FFFFFF" w:themeColor="background1"/>
        </w:rPr>
        <w:t xml:space="preserve">Parliament decided that both the </w:t>
      </w:r>
      <w:r>
        <w:rPr>
          <w:i/>
          <w:iCs/>
          <w:color w:val="FFFFFF" w:themeColor="background1"/>
        </w:rPr>
        <w:t xml:space="preserve">Mental Health Act 2014 </w:t>
      </w:r>
      <w:r>
        <w:rPr>
          <w:color w:val="FFFFFF" w:themeColor="background1"/>
        </w:rPr>
        <w:t xml:space="preserve">(Vic) and the </w:t>
      </w:r>
      <w:r>
        <w:rPr>
          <w:i/>
          <w:iCs/>
          <w:color w:val="FFFFFF" w:themeColor="background1"/>
        </w:rPr>
        <w:t xml:space="preserve">Mental Health and Wellbeing Act 2022 </w:t>
      </w:r>
      <w:r>
        <w:rPr>
          <w:color w:val="FFFFFF" w:themeColor="background1"/>
        </w:rPr>
        <w:t>(Vic) were compatible with the Charter’s human rights.</w:t>
      </w:r>
    </w:p>
    <w:p w14:paraId="09324463" w14:textId="670C198A" w:rsidR="00514C2A" w:rsidRDefault="001C338F" w:rsidP="001C338F">
      <w:r>
        <w:rPr>
          <w:color w:val="FFFFFF" w:themeColor="background1"/>
        </w:rPr>
        <w:t>Funding decisions can also indirectly engage Charter</w:t>
      </w:r>
      <w:r w:rsidDel="00245D8E">
        <w:rPr>
          <w:color w:val="FFFFFF" w:themeColor="background1"/>
        </w:rPr>
        <w:t xml:space="preserve"> </w:t>
      </w:r>
      <w:r>
        <w:rPr>
          <w:color w:val="FFFFFF" w:themeColor="background1"/>
        </w:rPr>
        <w:t xml:space="preserve">rights when they propose the use of public </w:t>
      </w:r>
      <w:r>
        <w:rPr>
          <w:i/>
          <w:iCs/>
          <w:color w:val="FFFFFF" w:themeColor="background1"/>
        </w:rPr>
        <w:t>clinical</w:t>
      </w:r>
      <w:r>
        <w:rPr>
          <w:color w:val="FFFFFF" w:themeColor="background1"/>
        </w:rPr>
        <w:t xml:space="preserve"> mental health </w:t>
      </w:r>
      <w:r w:rsidR="001007FC">
        <w:rPr>
          <w:color w:val="FFFFFF" w:themeColor="background1"/>
        </w:rPr>
        <w:t xml:space="preserve">rather than </w:t>
      </w:r>
      <w:r w:rsidR="001007FC">
        <w:rPr>
          <w:i/>
          <w:iCs/>
          <w:color w:val="FFFFFF" w:themeColor="background1"/>
        </w:rPr>
        <w:t xml:space="preserve">psychosocial </w:t>
      </w:r>
      <w:r w:rsidR="001007FC">
        <w:rPr>
          <w:color w:val="FFFFFF" w:themeColor="background1"/>
        </w:rPr>
        <w:t>mental health services. The latter are less likely to use restrictive practices or detain people.</w:t>
      </w:r>
      <w:r w:rsidR="00514C2A">
        <w:br w:type="page"/>
      </w:r>
    </w:p>
    <w:p w14:paraId="7A398B34" w14:textId="24075AF0" w:rsidR="00BB4842" w:rsidRDefault="007A4E66" w:rsidP="007A4E66">
      <w:pPr>
        <w:pStyle w:val="Heading1-report"/>
        <w:spacing w:before="0"/>
        <w:ind w:left="1440"/>
      </w:pPr>
      <w:r>
        <w:rPr>
          <w:noProof/>
        </w:rPr>
        <w:lastRenderedPageBreak/>
        <mc:AlternateContent>
          <mc:Choice Requires="wps">
            <w:drawing>
              <wp:anchor distT="45720" distB="45720" distL="114300" distR="114300" simplePos="0" relativeHeight="251658291" behindDoc="0" locked="0" layoutInCell="1" allowOverlap="1" wp14:anchorId="2A8FBE19" wp14:editId="064BDD4C">
                <wp:simplePos x="0" y="0"/>
                <wp:positionH relativeFrom="margin">
                  <wp:posOffset>0</wp:posOffset>
                </wp:positionH>
                <wp:positionV relativeFrom="paragraph">
                  <wp:posOffset>976572</wp:posOffset>
                </wp:positionV>
                <wp:extent cx="5753735" cy="1404620"/>
                <wp:effectExtent l="0" t="0" r="18415" b="14605"/>
                <wp:wrapSquare wrapText="bothSides"/>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1404620"/>
                        </a:xfrm>
                        <a:prstGeom prst="rect">
                          <a:avLst/>
                        </a:prstGeom>
                        <a:solidFill>
                          <a:srgbClr val="201547"/>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5827D8E7" w14:textId="77777777" w:rsidR="005927C1" w:rsidRPr="005927C1" w:rsidRDefault="005927C1" w:rsidP="005927C1">
                            <w:pPr>
                              <w:pStyle w:val="Heading3-report"/>
                              <w:rPr>
                                <w:color w:val="FFFFFF" w:themeColor="background1"/>
                              </w:rPr>
                            </w:pPr>
                            <w:r w:rsidRPr="005927C1">
                              <w:rPr>
                                <w:color w:val="FFFFFF" w:themeColor="background1"/>
                              </w:rPr>
                              <w:t>Section 11 Freedom from forced work</w:t>
                            </w:r>
                          </w:p>
                          <w:p w14:paraId="0BB8F4C8" w14:textId="77777777" w:rsidR="005927C1" w:rsidRPr="005927C1" w:rsidRDefault="005927C1" w:rsidP="00E225B4">
                            <w:pPr>
                              <w:pStyle w:val="ListParagraph"/>
                              <w:numPr>
                                <w:ilvl w:val="0"/>
                                <w:numId w:val="7"/>
                              </w:numPr>
                              <w:rPr>
                                <w:color w:val="FFFFFF" w:themeColor="background1"/>
                              </w:rPr>
                            </w:pPr>
                            <w:r w:rsidRPr="005927C1">
                              <w:rPr>
                                <w:color w:val="FFFFFF" w:themeColor="background1"/>
                              </w:rPr>
                              <w:t>A person must not be held in slavery or servitude.</w:t>
                            </w:r>
                          </w:p>
                          <w:p w14:paraId="51934E7C" w14:textId="77777777" w:rsidR="005927C1" w:rsidRPr="005927C1" w:rsidRDefault="005927C1" w:rsidP="00E225B4">
                            <w:pPr>
                              <w:pStyle w:val="ListParagraph"/>
                              <w:numPr>
                                <w:ilvl w:val="0"/>
                                <w:numId w:val="7"/>
                              </w:numPr>
                              <w:rPr>
                                <w:color w:val="FFFFFF" w:themeColor="background1"/>
                              </w:rPr>
                            </w:pPr>
                            <w:r w:rsidRPr="005927C1">
                              <w:rPr>
                                <w:color w:val="FFFFFF" w:themeColor="background1"/>
                              </w:rPr>
                              <w:t>A person must not be made to perform forced or compulsory labour.</w:t>
                            </w:r>
                          </w:p>
                          <w:p w14:paraId="1B36BCDF" w14:textId="77777777" w:rsidR="005927C1" w:rsidRPr="005927C1" w:rsidRDefault="005927C1" w:rsidP="00E225B4">
                            <w:pPr>
                              <w:pStyle w:val="ListParagraph"/>
                              <w:numPr>
                                <w:ilvl w:val="0"/>
                                <w:numId w:val="7"/>
                              </w:numPr>
                              <w:rPr>
                                <w:color w:val="FFFFFF" w:themeColor="background1"/>
                              </w:rPr>
                            </w:pPr>
                            <w:r w:rsidRPr="005927C1">
                              <w:rPr>
                                <w:color w:val="FFFFFF" w:themeColor="background1"/>
                              </w:rPr>
                              <w:t xml:space="preserve">For the purposes of subsection (2) </w:t>
                            </w:r>
                            <w:r w:rsidRPr="005927C1">
                              <w:rPr>
                                <w:b/>
                                <w:bCs/>
                                <w:i/>
                                <w:iCs/>
                                <w:color w:val="FFFFFF" w:themeColor="background1"/>
                              </w:rPr>
                              <w:t>forced or compulsory labour</w:t>
                            </w:r>
                            <w:r w:rsidRPr="005927C1">
                              <w:rPr>
                                <w:color w:val="FFFFFF" w:themeColor="background1"/>
                              </w:rPr>
                              <w:t xml:space="preserve"> does not include —</w:t>
                            </w:r>
                          </w:p>
                          <w:p w14:paraId="1DF877FA" w14:textId="77777777" w:rsidR="005927C1" w:rsidRPr="005927C1" w:rsidRDefault="005927C1" w:rsidP="00E225B4">
                            <w:pPr>
                              <w:pStyle w:val="ListParagraph"/>
                              <w:numPr>
                                <w:ilvl w:val="0"/>
                                <w:numId w:val="8"/>
                              </w:numPr>
                              <w:rPr>
                                <w:color w:val="FFFFFF" w:themeColor="background1"/>
                              </w:rPr>
                            </w:pPr>
                            <w:r w:rsidRPr="005927C1">
                              <w:rPr>
                                <w:color w:val="FFFFFF" w:themeColor="background1"/>
                              </w:rPr>
                              <w:t>work or service normally required of a </w:t>
                            </w:r>
                            <w:hyperlink r:id="rId33" w:anchor="person" w:history="1">
                              <w:r w:rsidRPr="005927C1">
                                <w:rPr>
                                  <w:rStyle w:val="Hyperlink"/>
                                  <w:color w:val="FFFFFF" w:themeColor="background1"/>
                                  <w:u w:val="none"/>
                                </w:rPr>
                                <w:t>person</w:t>
                              </w:r>
                            </w:hyperlink>
                            <w:r w:rsidRPr="005927C1">
                              <w:rPr>
                                <w:color w:val="FFFFFF" w:themeColor="background1"/>
                              </w:rPr>
                              <w:t> who is under detention because of a lawful </w:t>
                            </w:r>
                            <w:hyperlink r:id="rId34" w:anchor="court_order" w:history="1">
                              <w:r w:rsidRPr="005927C1">
                                <w:rPr>
                                  <w:rStyle w:val="Hyperlink"/>
                                  <w:color w:val="FFFFFF" w:themeColor="background1"/>
                                  <w:u w:val="none"/>
                                </w:rPr>
                                <w:t>court order</w:t>
                              </w:r>
                            </w:hyperlink>
                            <w:r w:rsidRPr="005927C1">
                              <w:rPr>
                                <w:color w:val="FFFFFF" w:themeColor="background1"/>
                              </w:rPr>
                              <w:t> or who, under a lawful </w:t>
                            </w:r>
                            <w:hyperlink r:id="rId35" w:anchor="court_order" w:history="1">
                              <w:r w:rsidRPr="005927C1">
                                <w:rPr>
                                  <w:rStyle w:val="Hyperlink"/>
                                  <w:color w:val="FFFFFF" w:themeColor="background1"/>
                                  <w:u w:val="none"/>
                                </w:rPr>
                                <w:t>court order</w:t>
                              </w:r>
                            </w:hyperlink>
                            <w:r w:rsidRPr="005927C1">
                              <w:rPr>
                                <w:color w:val="FFFFFF" w:themeColor="background1"/>
                              </w:rPr>
                              <w:t>, has been conditionally released from detention or ordered to perform work in the community; or</w:t>
                            </w:r>
                          </w:p>
                          <w:p w14:paraId="601F77CD" w14:textId="77777777" w:rsidR="005927C1" w:rsidRPr="005927C1" w:rsidRDefault="005927C1" w:rsidP="00E225B4">
                            <w:pPr>
                              <w:pStyle w:val="ListParagraph"/>
                              <w:numPr>
                                <w:ilvl w:val="0"/>
                                <w:numId w:val="8"/>
                              </w:numPr>
                              <w:rPr>
                                <w:color w:val="FFFFFF" w:themeColor="background1"/>
                              </w:rPr>
                            </w:pPr>
                            <w:r w:rsidRPr="005927C1">
                              <w:rPr>
                                <w:color w:val="FFFFFF" w:themeColor="background1"/>
                              </w:rPr>
                              <w:t>work or service required because of an emergency threatening the Victorian community or a part of the Victorian community; or</w:t>
                            </w:r>
                          </w:p>
                          <w:p w14:paraId="3243E657" w14:textId="77777777" w:rsidR="005927C1" w:rsidRPr="005927C1" w:rsidRDefault="005927C1" w:rsidP="00E225B4">
                            <w:pPr>
                              <w:pStyle w:val="ListParagraph"/>
                              <w:numPr>
                                <w:ilvl w:val="0"/>
                                <w:numId w:val="8"/>
                              </w:numPr>
                              <w:rPr>
                                <w:color w:val="FFFFFF" w:themeColor="background1"/>
                              </w:rPr>
                            </w:pPr>
                            <w:r w:rsidRPr="005927C1">
                              <w:rPr>
                                <w:color w:val="FFFFFF" w:themeColor="background1"/>
                              </w:rPr>
                              <w:t>work or service that forms part of normal civil obligations.</w:t>
                            </w:r>
                          </w:p>
                          <w:p w14:paraId="79EB0942" w14:textId="71E85C89" w:rsidR="005927C1" w:rsidRPr="005927C1" w:rsidRDefault="005927C1" w:rsidP="005927C1">
                            <w:pPr>
                              <w:rPr>
                                <w:color w:val="FFFFFF" w:themeColor="background1"/>
                              </w:rPr>
                            </w:pPr>
                            <w:r w:rsidRPr="005927C1">
                              <w:rPr>
                                <w:color w:val="FFFFFF" w:themeColor="background1"/>
                              </w:rPr>
                              <w:t xml:space="preserve">In this section </w:t>
                            </w:r>
                            <w:r w:rsidRPr="005927C1">
                              <w:rPr>
                                <w:b/>
                                <w:bCs/>
                                <w:i/>
                                <w:iCs/>
                                <w:color w:val="FFFFFF" w:themeColor="background1"/>
                              </w:rPr>
                              <w:t>court order</w:t>
                            </w:r>
                            <w:r w:rsidRPr="005927C1">
                              <w:rPr>
                                <w:color w:val="FFFFFF" w:themeColor="background1"/>
                              </w:rPr>
                              <w:t xml:space="preserve"> includes an order made by a </w:t>
                            </w:r>
                            <w:hyperlink r:id="rId36" w:anchor="court" w:history="1">
                              <w:r w:rsidRPr="005927C1">
                                <w:rPr>
                                  <w:rStyle w:val="Hyperlink"/>
                                  <w:color w:val="FFFFFF" w:themeColor="background1"/>
                                  <w:u w:val="none"/>
                                </w:rPr>
                                <w:t>court</w:t>
                              </w:r>
                            </w:hyperlink>
                            <w:r w:rsidRPr="005927C1">
                              <w:rPr>
                                <w:color w:val="FFFFFF" w:themeColor="background1"/>
                              </w:rPr>
                              <w:t> of another jurisdiction.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8FBE19" id="Text Box 244" o:spid="_x0000_s1034" type="#_x0000_t202" style="position:absolute;left:0;text-align:left;margin-left:0;margin-top:76.9pt;width:453.05pt;height:110.6pt;z-index:25165829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" fillcolor="#201547" strokecolor="#1b383a [1604]" strokeweight="1pt">
                <v:textbox style="mso-fit-shape-to-text:t">
                  <w:txbxContent>
                    <w:p w14:paraId="5827D8E7" w14:textId="77777777" w:rsidR="005927C1" w:rsidRPr="005927C1" w:rsidRDefault="005927C1" w:rsidP="005927C1">
                      <w:pPr>
                        <w:pStyle w:val="Heading3-report"/>
                        <w:rPr>
                          <w:color w:val="FFFFFF" w:themeColor="background1"/>
                        </w:rPr>
                      </w:pPr>
                      <w:r w:rsidRPr="005927C1">
                        <w:rPr>
                          <w:color w:val="FFFFFF" w:themeColor="background1"/>
                        </w:rPr>
                        <w:t>Section 11 Freedom from forced work</w:t>
                      </w:r>
                    </w:p>
                    <w:p w14:paraId="0BB8F4C8" w14:textId="77777777" w:rsidR="005927C1" w:rsidRPr="005927C1" w:rsidRDefault="005927C1" w:rsidP="00E225B4">
                      <w:pPr>
                        <w:pStyle w:val="ListParagraph"/>
                        <w:numPr>
                          <w:ilvl w:val="0"/>
                          <w:numId w:val="7"/>
                        </w:numPr>
                        <w:rPr>
                          <w:color w:val="FFFFFF" w:themeColor="background1"/>
                        </w:rPr>
                      </w:pPr>
                      <w:r w:rsidRPr="005927C1">
                        <w:rPr>
                          <w:color w:val="FFFFFF" w:themeColor="background1"/>
                        </w:rPr>
                        <w:t>A person must not be held in slavery or servitude.</w:t>
                      </w:r>
                    </w:p>
                    <w:p w14:paraId="51934E7C" w14:textId="77777777" w:rsidR="005927C1" w:rsidRPr="005927C1" w:rsidRDefault="005927C1" w:rsidP="00E225B4">
                      <w:pPr>
                        <w:pStyle w:val="ListParagraph"/>
                        <w:numPr>
                          <w:ilvl w:val="0"/>
                          <w:numId w:val="7"/>
                        </w:numPr>
                        <w:rPr>
                          <w:color w:val="FFFFFF" w:themeColor="background1"/>
                        </w:rPr>
                      </w:pPr>
                      <w:r w:rsidRPr="005927C1">
                        <w:rPr>
                          <w:color w:val="FFFFFF" w:themeColor="background1"/>
                        </w:rPr>
                        <w:t>A person must not be made to perform forced or compulsory labour.</w:t>
                      </w:r>
                    </w:p>
                    <w:p w14:paraId="1B36BCDF" w14:textId="77777777" w:rsidR="005927C1" w:rsidRPr="005927C1" w:rsidRDefault="005927C1" w:rsidP="00E225B4">
                      <w:pPr>
                        <w:pStyle w:val="ListParagraph"/>
                        <w:numPr>
                          <w:ilvl w:val="0"/>
                          <w:numId w:val="7"/>
                        </w:numPr>
                        <w:rPr>
                          <w:color w:val="FFFFFF" w:themeColor="background1"/>
                        </w:rPr>
                      </w:pPr>
                      <w:r w:rsidRPr="005927C1">
                        <w:rPr>
                          <w:color w:val="FFFFFF" w:themeColor="background1"/>
                        </w:rPr>
                        <w:t xml:space="preserve">For the purposes of subsection (2) </w:t>
                      </w:r>
                      <w:r w:rsidRPr="005927C1">
                        <w:rPr>
                          <w:b/>
                          <w:bCs/>
                          <w:i/>
                          <w:iCs/>
                          <w:color w:val="FFFFFF" w:themeColor="background1"/>
                        </w:rPr>
                        <w:t>forced or compulsory labour</w:t>
                      </w:r>
                      <w:r w:rsidRPr="005927C1">
                        <w:rPr>
                          <w:color w:val="FFFFFF" w:themeColor="background1"/>
                        </w:rPr>
                        <w:t xml:space="preserve"> does not include —</w:t>
                      </w:r>
                    </w:p>
                    <w:p w14:paraId="1DF877FA" w14:textId="77777777" w:rsidR="005927C1" w:rsidRPr="005927C1" w:rsidRDefault="005927C1" w:rsidP="00E225B4">
                      <w:pPr>
                        <w:pStyle w:val="ListParagraph"/>
                        <w:numPr>
                          <w:ilvl w:val="0"/>
                          <w:numId w:val="8"/>
                        </w:numPr>
                        <w:rPr>
                          <w:color w:val="FFFFFF" w:themeColor="background1"/>
                        </w:rPr>
                      </w:pPr>
                      <w:r w:rsidRPr="005927C1">
                        <w:rPr>
                          <w:color w:val="FFFFFF" w:themeColor="background1"/>
                        </w:rPr>
                        <w:t>work or service normally required of a </w:t>
                      </w:r>
                      <w:hyperlink r:id="rId37" w:anchor="person" w:history="1">
                        <w:r w:rsidRPr="005927C1">
                          <w:rPr>
                            <w:rStyle w:val="Hyperlink"/>
                            <w:color w:val="FFFFFF" w:themeColor="background1"/>
                            <w:u w:val="none"/>
                          </w:rPr>
                          <w:t>person</w:t>
                        </w:r>
                      </w:hyperlink>
                      <w:r w:rsidRPr="005927C1">
                        <w:rPr>
                          <w:color w:val="FFFFFF" w:themeColor="background1"/>
                        </w:rPr>
                        <w:t> who is under detention because of a lawful </w:t>
                      </w:r>
                      <w:hyperlink r:id="rId38" w:anchor="court_order" w:history="1">
                        <w:r w:rsidRPr="005927C1">
                          <w:rPr>
                            <w:rStyle w:val="Hyperlink"/>
                            <w:color w:val="FFFFFF" w:themeColor="background1"/>
                            <w:u w:val="none"/>
                          </w:rPr>
                          <w:t>court order</w:t>
                        </w:r>
                      </w:hyperlink>
                      <w:r w:rsidRPr="005927C1">
                        <w:rPr>
                          <w:color w:val="FFFFFF" w:themeColor="background1"/>
                        </w:rPr>
                        <w:t> or who, under a lawful </w:t>
                      </w:r>
                      <w:hyperlink r:id="rId39" w:anchor="court_order" w:history="1">
                        <w:r w:rsidRPr="005927C1">
                          <w:rPr>
                            <w:rStyle w:val="Hyperlink"/>
                            <w:color w:val="FFFFFF" w:themeColor="background1"/>
                            <w:u w:val="none"/>
                          </w:rPr>
                          <w:t>court order</w:t>
                        </w:r>
                      </w:hyperlink>
                      <w:r w:rsidRPr="005927C1">
                        <w:rPr>
                          <w:color w:val="FFFFFF" w:themeColor="background1"/>
                        </w:rPr>
                        <w:t>, has been conditionally released from detention or ordered to perform work in the community; or</w:t>
                      </w:r>
                    </w:p>
                    <w:p w14:paraId="601F77CD" w14:textId="77777777" w:rsidR="005927C1" w:rsidRPr="005927C1" w:rsidRDefault="005927C1" w:rsidP="00E225B4">
                      <w:pPr>
                        <w:pStyle w:val="ListParagraph"/>
                        <w:numPr>
                          <w:ilvl w:val="0"/>
                          <w:numId w:val="8"/>
                        </w:numPr>
                        <w:rPr>
                          <w:color w:val="FFFFFF" w:themeColor="background1"/>
                        </w:rPr>
                      </w:pPr>
                      <w:r w:rsidRPr="005927C1">
                        <w:rPr>
                          <w:color w:val="FFFFFF" w:themeColor="background1"/>
                        </w:rPr>
                        <w:t>work or service required because of an emergency threatening the Victorian community or a part of the Victorian community; or</w:t>
                      </w:r>
                    </w:p>
                    <w:p w14:paraId="3243E657" w14:textId="77777777" w:rsidR="005927C1" w:rsidRPr="005927C1" w:rsidRDefault="005927C1" w:rsidP="00E225B4">
                      <w:pPr>
                        <w:pStyle w:val="ListParagraph"/>
                        <w:numPr>
                          <w:ilvl w:val="0"/>
                          <w:numId w:val="8"/>
                        </w:numPr>
                        <w:rPr>
                          <w:color w:val="FFFFFF" w:themeColor="background1"/>
                        </w:rPr>
                      </w:pPr>
                      <w:r w:rsidRPr="005927C1">
                        <w:rPr>
                          <w:color w:val="FFFFFF" w:themeColor="background1"/>
                        </w:rPr>
                        <w:t>work or service that forms part of normal civil obligations.</w:t>
                      </w:r>
                    </w:p>
                    <w:p w14:paraId="79EB0942" w14:textId="71E85C89" w:rsidR="005927C1" w:rsidRPr="005927C1" w:rsidRDefault="005927C1" w:rsidP="005927C1">
                      <w:pPr>
                        <w:rPr>
                          <w:color w:val="FFFFFF" w:themeColor="background1"/>
                        </w:rPr>
                      </w:pPr>
                      <w:r w:rsidRPr="005927C1">
                        <w:rPr>
                          <w:color w:val="FFFFFF" w:themeColor="background1"/>
                        </w:rPr>
                        <w:t xml:space="preserve">In this section </w:t>
                      </w:r>
                      <w:r w:rsidRPr="005927C1">
                        <w:rPr>
                          <w:b/>
                          <w:bCs/>
                          <w:i/>
                          <w:iCs/>
                          <w:color w:val="FFFFFF" w:themeColor="background1"/>
                        </w:rPr>
                        <w:t>court order</w:t>
                      </w:r>
                      <w:r w:rsidRPr="005927C1">
                        <w:rPr>
                          <w:color w:val="FFFFFF" w:themeColor="background1"/>
                        </w:rPr>
                        <w:t xml:space="preserve"> includes an order made by a </w:t>
                      </w:r>
                      <w:hyperlink r:id="rId40" w:anchor="court" w:history="1">
                        <w:r w:rsidRPr="005927C1">
                          <w:rPr>
                            <w:rStyle w:val="Hyperlink"/>
                            <w:color w:val="FFFFFF" w:themeColor="background1"/>
                            <w:u w:val="none"/>
                          </w:rPr>
                          <w:t>court</w:t>
                        </w:r>
                      </w:hyperlink>
                      <w:r w:rsidRPr="005927C1">
                        <w:rPr>
                          <w:color w:val="FFFFFF" w:themeColor="background1"/>
                        </w:rPr>
                        <w:t> of another jurisdiction.</w:t>
                      </w:r>
                    </w:p>
                  </w:txbxContent>
                </v:textbox>
                <w10:wrap type="square" anchorx="margin"/>
              </v:shape>
            </w:pict>
          </mc:Fallback>
        </mc:AlternateContent>
      </w:r>
      <w:r w:rsidR="00741F8F">
        <w:rPr>
          <w:noProof/>
        </w:rPr>
        <w:drawing>
          <wp:anchor distT="0" distB="0" distL="114300" distR="114300" simplePos="0" relativeHeight="251658257" behindDoc="0" locked="0" layoutInCell="1" allowOverlap="1" wp14:anchorId="6280057E" wp14:editId="6783B7E6">
            <wp:simplePos x="0" y="0"/>
            <wp:positionH relativeFrom="margin">
              <wp:align>left</wp:align>
            </wp:positionH>
            <wp:positionV relativeFrom="paragraph">
              <wp:posOffset>7620</wp:posOffset>
            </wp:positionV>
            <wp:extent cx="545911" cy="545911"/>
            <wp:effectExtent l="0" t="0" r="6985" b="6985"/>
            <wp:wrapNone/>
            <wp:docPr id="40" name="Picture 40" descr="Hand breaking away from ch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Hand breaking away from chains"/>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51193" cy="5511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04B">
        <w:t>Freedom from forced work (section 11)</w:t>
      </w:r>
    </w:p>
    <w:p w14:paraId="77C02BD2" w14:textId="0E5312DD" w:rsidR="00583647" w:rsidRDefault="009C1BFF" w:rsidP="007A4E66">
      <w:pPr>
        <w:pStyle w:val="BoldedRightsIntro"/>
      </w:pPr>
      <w:r w:rsidRPr="00EB1115">
        <w:t>Victorians should be free from slavery and servitude.</w:t>
      </w:r>
      <w:r w:rsidR="00583647" w:rsidRPr="00EB1115">
        <w:t xml:space="preserve"> This </w:t>
      </w:r>
      <w:r w:rsidR="00415FD1" w:rsidRPr="00EB1115">
        <w:t xml:space="preserve">right </w:t>
      </w:r>
      <w:r w:rsidR="00583647" w:rsidRPr="00EB1115">
        <w:t>is reflected in section 11 of the Charter, which makes it unlawful to hold someone in slavery or servitude or to force someone to perform forced or compulsory labour.</w:t>
      </w:r>
    </w:p>
    <w:p w14:paraId="0ACD937A" w14:textId="667949F3" w:rsidR="002F0ACD" w:rsidRDefault="002F0ACD" w:rsidP="00705BED">
      <w:pPr>
        <w:pStyle w:val="Heading2-report"/>
      </w:pPr>
      <w:r>
        <w:t>What is ‘slavery’?</w:t>
      </w:r>
    </w:p>
    <w:p w14:paraId="3DD05CEB" w14:textId="5FD2403D" w:rsidR="00583647" w:rsidRDefault="00DF72DB" w:rsidP="00A9204B">
      <w:r>
        <w:t xml:space="preserve">Early </w:t>
      </w:r>
      <w:r w:rsidR="00583647">
        <w:t xml:space="preserve">definitions of ‘slavery’ under international law </w:t>
      </w:r>
      <w:r w:rsidR="00CD775B">
        <w:t>describe it as</w:t>
      </w:r>
      <w:r w:rsidR="00583647">
        <w:t xml:space="preserve"> ‘the status or condition of a person over whom any or all of the powers attaching the right of ownership are exercised.’</w:t>
      </w:r>
      <w:r w:rsidR="00583647" w:rsidRPr="0091262D">
        <w:rPr>
          <w:rStyle w:val="FootnoteReference"/>
        </w:rPr>
        <w:footnoteReference w:id="52"/>
      </w:r>
      <w:r w:rsidR="00CD775B">
        <w:t xml:space="preserve"> </w:t>
      </w:r>
      <w:r w:rsidR="007C31DA">
        <w:t xml:space="preserve">This </w:t>
      </w:r>
      <w:r w:rsidR="00DA7685">
        <w:t xml:space="preserve">definition </w:t>
      </w:r>
      <w:r w:rsidR="007C31DA">
        <w:t>should be distinguished from relationships such as those</w:t>
      </w:r>
      <w:r w:rsidR="004D28AF">
        <w:t xml:space="preserve"> based on a harsh or ‘seriously exploitative employment relationship.’</w:t>
      </w:r>
      <w:r w:rsidR="004D28AF" w:rsidRPr="0091262D">
        <w:rPr>
          <w:rStyle w:val="FootnoteReference"/>
        </w:rPr>
        <w:footnoteReference w:id="53"/>
      </w:r>
      <w:r w:rsidR="00CD775B">
        <w:t xml:space="preserve"> </w:t>
      </w:r>
      <w:r w:rsidR="004D01B9">
        <w:t xml:space="preserve">Servitude is a lower </w:t>
      </w:r>
      <w:r w:rsidR="000F4098">
        <w:t>standard than slavery, but similarly refers to the provision of services as a result of coercion, exploitation or dominance.</w:t>
      </w:r>
      <w:r w:rsidR="000F4098" w:rsidRPr="0091262D">
        <w:rPr>
          <w:rStyle w:val="FootnoteReference"/>
        </w:rPr>
        <w:footnoteReference w:id="54"/>
      </w:r>
    </w:p>
    <w:p w14:paraId="7220158D" w14:textId="29DF8151" w:rsidR="002F0ACD" w:rsidRDefault="002F0ACD" w:rsidP="00705BED">
      <w:pPr>
        <w:pStyle w:val="Heading2-report"/>
      </w:pPr>
      <w:r>
        <w:t>When could this arise in your work?</w:t>
      </w:r>
    </w:p>
    <w:p w14:paraId="046BEB8C" w14:textId="50B2D146" w:rsidR="00741F8F" w:rsidRDefault="00F729A8">
      <w:pPr>
        <w:rPr>
          <w:b/>
          <w:bCs/>
          <w:color w:val="201547"/>
          <w:sz w:val="36"/>
          <w:szCs w:val="36"/>
        </w:rPr>
      </w:pPr>
      <w:r>
        <w:t>There is minimal case law on this provision</w:t>
      </w:r>
      <w:r w:rsidR="000C6EE7">
        <w:t xml:space="preserve">. </w:t>
      </w:r>
      <w:r w:rsidR="007E46BE">
        <w:t>There are not many foreseeable circumstances where this right will be engaged within the Victorian mental health reform context.</w:t>
      </w:r>
      <w:r w:rsidR="00741F8F">
        <w:br w:type="page"/>
      </w:r>
    </w:p>
    <w:p w14:paraId="71ACF8EC" w14:textId="0A1F688C" w:rsidR="00A9204B" w:rsidRDefault="00741F8F" w:rsidP="007A4E66">
      <w:pPr>
        <w:pStyle w:val="Heading1-report"/>
        <w:ind w:left="720" w:firstLine="720"/>
      </w:pPr>
      <w:r>
        <w:rPr>
          <w:noProof/>
        </w:rPr>
        <w:lastRenderedPageBreak/>
        <w:drawing>
          <wp:anchor distT="0" distB="0" distL="114300" distR="114300" simplePos="0" relativeHeight="251658261" behindDoc="0" locked="0" layoutInCell="1" allowOverlap="1" wp14:anchorId="2D057DDE" wp14:editId="0A7B50AF">
            <wp:simplePos x="0" y="0"/>
            <wp:positionH relativeFrom="margin">
              <wp:posOffset>13970</wp:posOffset>
            </wp:positionH>
            <wp:positionV relativeFrom="paragraph">
              <wp:posOffset>0</wp:posOffset>
            </wp:positionV>
            <wp:extent cx="573206" cy="573206"/>
            <wp:effectExtent l="0" t="0" r="0" b="0"/>
            <wp:wrapNone/>
            <wp:docPr id="202" name="Picture 202" descr="Person mo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Person movi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4711" cy="5747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04B">
        <w:t>Freedom of movement (section 12)</w:t>
      </w:r>
    </w:p>
    <w:p w14:paraId="669598EB" w14:textId="3DB0E7B2" w:rsidR="00741F8F" w:rsidRDefault="00EB1115" w:rsidP="005927C1">
      <w:pPr>
        <w:spacing w:after="240"/>
      </w:pPr>
      <w:r>
        <w:rPr>
          <w:noProof/>
        </w:rPr>
        <mc:AlternateContent>
          <mc:Choice Requires="wps">
            <w:drawing>
              <wp:anchor distT="45720" distB="45720" distL="114300" distR="114300" simplePos="0" relativeHeight="251658292" behindDoc="0" locked="0" layoutInCell="1" allowOverlap="1" wp14:anchorId="10DF6C39" wp14:editId="277555F9">
                <wp:simplePos x="0" y="0"/>
                <wp:positionH relativeFrom="margin">
                  <wp:align>right</wp:align>
                </wp:positionH>
                <wp:positionV relativeFrom="paragraph">
                  <wp:posOffset>536731</wp:posOffset>
                </wp:positionV>
                <wp:extent cx="5745192" cy="1404620"/>
                <wp:effectExtent l="0" t="0" r="27305" b="28575"/>
                <wp:wrapSquare wrapText="bothSides"/>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192" cy="1404620"/>
                        </a:xfrm>
                        <a:prstGeom prst="rect">
                          <a:avLst/>
                        </a:prstGeom>
                        <a:solidFill>
                          <a:srgbClr val="201547"/>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59C3B2F3" w14:textId="77777777" w:rsidR="00EB1115" w:rsidRPr="00EB1115" w:rsidRDefault="00EB1115" w:rsidP="00EB1115">
                            <w:pPr>
                              <w:pStyle w:val="Heading3-report"/>
                              <w:rPr>
                                <w:color w:val="FFFFFF" w:themeColor="background1"/>
                              </w:rPr>
                            </w:pPr>
                            <w:r w:rsidRPr="00EB1115">
                              <w:rPr>
                                <w:color w:val="FFFFFF" w:themeColor="background1"/>
                              </w:rPr>
                              <w:t>Section 12 Freedom of movement</w:t>
                            </w:r>
                          </w:p>
                          <w:p w14:paraId="022299B4" w14:textId="43B4FA2E" w:rsidR="00EB1115" w:rsidRPr="00EB1115" w:rsidRDefault="00EB1115" w:rsidP="00EB1115">
                            <w:pPr>
                              <w:rPr>
                                <w:color w:val="FFFFFF" w:themeColor="background1"/>
                              </w:rPr>
                            </w:pPr>
                            <w:r w:rsidRPr="00EB1115">
                              <w:rPr>
                                <w:color w:val="FFFFFF" w:themeColor="background1"/>
                              </w:rPr>
                              <w:t>Every person lawfully within Victoria has the right to move freely within Victoria and to enter and leave it and has the freedom to choose where to live.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DF6C39" id="Text Box 245" o:spid="_x0000_s1035" type="#_x0000_t202" style="position:absolute;margin-left:401.2pt;margin-top:42.25pt;width:452.4pt;height:110.6pt;z-index:2516582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" fillcolor="#201547" strokecolor="#1b383a [1604]" strokeweight="1pt">
                <v:textbox style="mso-fit-shape-to-text:t">
                  <w:txbxContent>
                    <w:p w14:paraId="59C3B2F3" w14:textId="77777777" w:rsidR="00EB1115" w:rsidRPr="00EB1115" w:rsidRDefault="00EB1115" w:rsidP="00EB1115">
                      <w:pPr>
                        <w:pStyle w:val="Heading3-report"/>
                        <w:rPr>
                          <w:color w:val="FFFFFF" w:themeColor="background1"/>
                        </w:rPr>
                      </w:pPr>
                      <w:r w:rsidRPr="00EB1115">
                        <w:rPr>
                          <w:color w:val="FFFFFF" w:themeColor="background1"/>
                        </w:rPr>
                        <w:t>Section 12 Freedom of movement</w:t>
                      </w:r>
                    </w:p>
                    <w:p w14:paraId="022299B4" w14:textId="43B4FA2E" w:rsidR="00EB1115" w:rsidRPr="00EB1115" w:rsidRDefault="00EB1115" w:rsidP="00EB1115">
                      <w:pPr>
                        <w:rPr>
                          <w:color w:val="FFFFFF" w:themeColor="background1"/>
                        </w:rPr>
                      </w:pPr>
                      <w:r w:rsidRPr="00EB1115">
                        <w:rPr>
                          <w:color w:val="FFFFFF" w:themeColor="background1"/>
                        </w:rPr>
                        <w:t>Every person lawfully within Victoria has the right to move freely within Victoria and to enter and leave it and has the freedom to choose where to live.</w:t>
                      </w:r>
                    </w:p>
                  </w:txbxContent>
                </v:textbox>
                <w10:wrap type="square" anchorx="margin"/>
              </v:shape>
            </w:pict>
          </mc:Fallback>
        </mc:AlternateContent>
      </w:r>
    </w:p>
    <w:p w14:paraId="0E9F7CBA" w14:textId="125F1100" w:rsidR="002F0ACD" w:rsidRDefault="00BA1331" w:rsidP="006619C1">
      <w:pPr>
        <w:pStyle w:val="BoldedRightsIntro"/>
      </w:pPr>
      <w:r w:rsidRPr="00EB1115">
        <w:t xml:space="preserve">The right to move and live where you want has not always been afforded to consumers. The use of </w:t>
      </w:r>
      <w:r w:rsidR="00EA410A" w:rsidRPr="00EB1115">
        <w:t xml:space="preserve">twentieth </w:t>
      </w:r>
      <w:r w:rsidRPr="00EB1115">
        <w:t>century asylums</w:t>
      </w:r>
      <w:r w:rsidR="0041076E" w:rsidRPr="0091262D">
        <w:rPr>
          <w:rStyle w:val="FootnoteReference"/>
        </w:rPr>
        <w:footnoteReference w:id="55"/>
      </w:r>
      <w:r w:rsidRPr="00EB1115">
        <w:t xml:space="preserve"> and </w:t>
      </w:r>
      <w:r w:rsidR="00EA410A" w:rsidRPr="00EB1115">
        <w:t>twenty-first</w:t>
      </w:r>
      <w:r w:rsidRPr="00EB1115">
        <w:t xml:space="preserve"> century secure extended care units, as well as the ongoing use of locked wards present serious limitations on</w:t>
      </w:r>
      <w:r w:rsidR="00EA410A" w:rsidRPr="00EB1115">
        <w:t xml:space="preserve"> the rights of</w:t>
      </w:r>
      <w:r w:rsidR="0041076E" w:rsidRPr="00EB1115">
        <w:t xml:space="preserve"> Victorian consumers</w:t>
      </w:r>
      <w:r w:rsidR="00630733" w:rsidRPr="00EB1115">
        <w:t xml:space="preserve">. </w:t>
      </w:r>
    </w:p>
    <w:p w14:paraId="013E5527" w14:textId="69F94E27" w:rsidR="002F0ACD" w:rsidRDefault="002F0ACD" w:rsidP="00705BED">
      <w:pPr>
        <w:pStyle w:val="Heading2-report"/>
      </w:pPr>
      <w:r>
        <w:t>Three parts to this right</w:t>
      </w:r>
    </w:p>
    <w:p w14:paraId="251C1E9A" w14:textId="7AB0C611" w:rsidR="00A9202C" w:rsidRDefault="001060D7">
      <w:r>
        <w:t xml:space="preserve">The right to freedom of movement has three separate rights. First, the right to move freely </w:t>
      </w:r>
      <w:r w:rsidRPr="6D69D0D5">
        <w:rPr>
          <w:i/>
          <w:iCs/>
        </w:rPr>
        <w:t>within</w:t>
      </w:r>
      <w:r>
        <w:t xml:space="preserve"> Victoria. Second, the right to </w:t>
      </w:r>
      <w:r w:rsidRPr="6D69D0D5">
        <w:rPr>
          <w:i/>
          <w:iCs/>
        </w:rPr>
        <w:t xml:space="preserve">enter </w:t>
      </w:r>
      <w:r>
        <w:t xml:space="preserve">and </w:t>
      </w:r>
      <w:r w:rsidRPr="6D69D0D5">
        <w:rPr>
          <w:i/>
          <w:iCs/>
        </w:rPr>
        <w:t>leave</w:t>
      </w:r>
      <w:r>
        <w:t xml:space="preserve"> Victoria freely. </w:t>
      </w:r>
      <w:r w:rsidR="00A9202C">
        <w:t xml:space="preserve">Third, the right to </w:t>
      </w:r>
      <w:r w:rsidR="00A9202C" w:rsidRPr="6D69D0D5">
        <w:rPr>
          <w:i/>
          <w:iCs/>
        </w:rPr>
        <w:t>choose where to live</w:t>
      </w:r>
      <w:r w:rsidR="00A9202C">
        <w:t xml:space="preserve">. These rights are qualified to include those ‘lawfully’ within Victoria, meaning those who have entered Victoria in a way incompatible with the </w:t>
      </w:r>
      <w:r w:rsidR="00A9202C" w:rsidRPr="6D69D0D5">
        <w:rPr>
          <w:i/>
          <w:iCs/>
        </w:rPr>
        <w:t xml:space="preserve">Migration Act 1958 </w:t>
      </w:r>
      <w:r w:rsidR="00A9202C">
        <w:t>(Cth)</w:t>
      </w:r>
      <w:r w:rsidR="00E37FC6">
        <w:t xml:space="preserve"> may not enjoy this right.</w:t>
      </w:r>
      <w:r w:rsidR="00E37FC6" w:rsidRPr="0091262D">
        <w:rPr>
          <w:rStyle w:val="FootnoteReference"/>
        </w:rPr>
        <w:footnoteReference w:id="56"/>
      </w:r>
    </w:p>
    <w:p w14:paraId="26185AF0" w14:textId="06028398" w:rsidR="007E46BE" w:rsidRDefault="00E0447C" w:rsidP="00E0447C">
      <w:r>
        <w:t>The rights to freedom of movement and the right to liberty and security of person are related. They both refer to the same underlying right, being the restriction of someone’s liberty. Where they differ is the degree to which movement is restricted.</w:t>
      </w:r>
      <w:r w:rsidRPr="0091262D">
        <w:rPr>
          <w:rStyle w:val="FootnoteReference"/>
        </w:rPr>
        <w:footnoteReference w:id="57"/>
      </w:r>
      <w:r>
        <w:t xml:space="preserve"> Detention is likely to engage liberty and security of person, while restrictions that fall short of detention </w:t>
      </w:r>
      <w:r w:rsidR="000216FF">
        <w:t xml:space="preserve">are </w:t>
      </w:r>
      <w:r>
        <w:t xml:space="preserve">likely </w:t>
      </w:r>
      <w:r w:rsidR="00A072EB">
        <w:t xml:space="preserve">to </w:t>
      </w:r>
      <w:r>
        <w:t>engage freedom of movement.</w:t>
      </w:r>
      <w:r w:rsidRPr="0091262D">
        <w:rPr>
          <w:rStyle w:val="FootnoteReference"/>
        </w:rPr>
        <w:footnoteReference w:id="58"/>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0"/>
      </w:tblGrid>
      <w:tr w:rsidR="006A4ED2" w14:paraId="283157E1" w14:textId="77777777" w:rsidTr="6D69D0D5">
        <w:tc>
          <w:tcPr>
            <w:tcW w:w="9060" w:type="dxa"/>
            <w:tcBorders>
              <w:top w:val="thickThinSmallGap" w:sz="24" w:space="0" w:color="201547"/>
              <w:bottom w:val="thickThinSmallGap" w:sz="24" w:space="0" w:color="201547"/>
            </w:tcBorders>
            <w:shd w:val="clear" w:color="auto" w:fill="F2F2F2" w:themeFill="background1" w:themeFillShade="F2"/>
          </w:tcPr>
          <w:p w14:paraId="53737C27" w14:textId="77777777" w:rsidR="006A4ED2" w:rsidRPr="00CD7523" w:rsidRDefault="006A4ED2" w:rsidP="00CD7523">
            <w:pPr>
              <w:rPr>
                <w:b/>
                <w:bCs/>
                <w:color w:val="201547"/>
                <w:sz w:val="28"/>
                <w:szCs w:val="24"/>
              </w:rPr>
            </w:pPr>
            <w:r w:rsidRPr="00CD7523">
              <w:rPr>
                <w:b/>
                <w:bCs/>
                <w:color w:val="201547"/>
                <w:sz w:val="28"/>
                <w:szCs w:val="24"/>
              </w:rPr>
              <w:t xml:space="preserve">Community treatment orders and </w:t>
            </w:r>
            <w:r w:rsidR="00EB6C74" w:rsidRPr="00CD7523">
              <w:rPr>
                <w:b/>
                <w:bCs/>
                <w:color w:val="201547"/>
                <w:sz w:val="28"/>
                <w:szCs w:val="24"/>
              </w:rPr>
              <w:t>the right to freedom of movement</w:t>
            </w:r>
          </w:p>
          <w:p w14:paraId="55FEB9F9" w14:textId="1E14392A" w:rsidR="00EB6C74" w:rsidRPr="00275604" w:rsidRDefault="008B3950" w:rsidP="00EB6C74">
            <w:r>
              <w:t>The right to freedom of movement is engaged and limited by the use of community treatment orders.</w:t>
            </w:r>
            <w:r w:rsidRPr="0091262D">
              <w:rPr>
                <w:rStyle w:val="FootnoteReference"/>
              </w:rPr>
              <w:footnoteReference w:id="59"/>
            </w:r>
            <w:r>
              <w:t xml:space="preserve"> They do so by specifying that a person must attend a</w:t>
            </w:r>
            <w:r w:rsidR="00F504F9">
              <w:t xml:space="preserve"> community mental health clinic for mental healthcare.</w:t>
            </w:r>
            <w:r w:rsidR="00E065B7">
              <w:t xml:space="preserve"> By doing so, it limits a person’s right to move anywhere within Victoria, at any time.</w:t>
            </w:r>
            <w:r w:rsidR="00E065B7" w:rsidRPr="0091262D">
              <w:rPr>
                <w:rStyle w:val="FootnoteReference"/>
              </w:rPr>
              <w:footnoteReference w:id="60"/>
            </w:r>
            <w:r w:rsidR="007A7F89">
              <w:t xml:space="preserve"> </w:t>
            </w:r>
            <w:r w:rsidR="00610054">
              <w:t xml:space="preserve">This </w:t>
            </w:r>
            <w:r w:rsidR="000A3F61">
              <w:t>was</w:t>
            </w:r>
            <w:r w:rsidR="00610054">
              <w:t xml:space="preserve"> considered a </w:t>
            </w:r>
            <w:r w:rsidR="00BA65F3">
              <w:t xml:space="preserve">necessary and </w:t>
            </w:r>
            <w:r w:rsidR="00610054">
              <w:t xml:space="preserve">proportionate limitation on </w:t>
            </w:r>
            <w:r w:rsidR="00BA65F3">
              <w:t>the right to freedom of movement</w:t>
            </w:r>
            <w:r w:rsidR="000A3F61">
              <w:t xml:space="preserve"> in</w:t>
            </w:r>
            <w:r w:rsidR="00BA65F3">
              <w:t xml:space="preserve"> a</w:t>
            </w:r>
            <w:r w:rsidR="000A3F61">
              <w:t xml:space="preserve"> 2009</w:t>
            </w:r>
            <w:r w:rsidR="00BA65F3">
              <w:t xml:space="preserve"> decision,</w:t>
            </w:r>
            <w:r w:rsidR="00610054" w:rsidRPr="0091262D">
              <w:rPr>
                <w:rStyle w:val="FootnoteReference"/>
              </w:rPr>
              <w:footnoteReference w:id="61"/>
            </w:r>
            <w:r w:rsidR="00BA65F3">
              <w:t xml:space="preserve"> </w:t>
            </w:r>
            <w:r w:rsidR="00BA65F3">
              <w:lastRenderedPageBreak/>
              <w:t xml:space="preserve">though this may be questioned after </w:t>
            </w:r>
            <w:r w:rsidR="007F5141">
              <w:t>subsequent evidence doubting the clinical efficacy of community treatment orders.</w:t>
            </w:r>
            <w:r w:rsidR="002B1221" w:rsidRPr="0091262D">
              <w:rPr>
                <w:rStyle w:val="FootnoteReference"/>
              </w:rPr>
              <w:footnoteReference w:id="62"/>
            </w:r>
            <w:r w:rsidR="001B6C60">
              <w:t xml:space="preserve"> </w:t>
            </w:r>
            <w:r w:rsidR="00F00FD2">
              <w:t xml:space="preserve">However a 2010 decision found that </w:t>
            </w:r>
            <w:r w:rsidR="00213072">
              <w:t xml:space="preserve">a psychiatrist’s direction that a consumer reside at a community care centre (or community care unit) instead of living at home with her mother, was </w:t>
            </w:r>
            <w:r w:rsidR="008B14A1">
              <w:t>not pe</w:t>
            </w:r>
            <w:r w:rsidR="00275604">
              <w:t xml:space="preserve">rmitted under the </w:t>
            </w:r>
            <w:r w:rsidR="00275604" w:rsidRPr="6D69D0D5">
              <w:rPr>
                <w:i/>
                <w:iCs/>
              </w:rPr>
              <w:t>Mental Health Act 1986</w:t>
            </w:r>
            <w:r w:rsidR="00275604">
              <w:t xml:space="preserve"> (Vic</w:t>
            </w:r>
            <w:r w:rsidR="00A05271">
              <w:t>)</w:t>
            </w:r>
            <w:r w:rsidR="00586D69">
              <w:t xml:space="preserve"> and also breached the right to freedom of movement.</w:t>
            </w:r>
            <w:r w:rsidR="00586D69" w:rsidRPr="0091262D">
              <w:rPr>
                <w:rStyle w:val="FootnoteReference"/>
              </w:rPr>
              <w:footnoteReference w:id="63"/>
            </w:r>
          </w:p>
        </w:tc>
      </w:tr>
    </w:tbl>
    <w:p w14:paraId="650DA941" w14:textId="3498859F" w:rsidR="002F0ACD" w:rsidRDefault="002F0ACD" w:rsidP="002A7035">
      <w:pPr>
        <w:pStyle w:val="Heading2-report"/>
      </w:pPr>
      <w:r>
        <w:lastRenderedPageBreak/>
        <w:t>When this could arise in your work</w:t>
      </w:r>
    </w:p>
    <w:p w14:paraId="4E5932A8" w14:textId="77777777" w:rsidR="002F0ACD" w:rsidRDefault="00300B2B" w:rsidP="00650F42">
      <w:pPr>
        <w:spacing w:before="120"/>
      </w:pPr>
      <w:r>
        <w:t>There are other circumstances where the right</w:t>
      </w:r>
      <w:r w:rsidR="00317CFC">
        <w:t xml:space="preserve"> might be engaged</w:t>
      </w:r>
      <w:r w:rsidR="009A6BD4">
        <w:t xml:space="preserve"> and potentially breached</w:t>
      </w:r>
      <w:r w:rsidR="00317CFC">
        <w:t xml:space="preserve">. </w:t>
      </w:r>
    </w:p>
    <w:p w14:paraId="5ACBE634" w14:textId="77777777" w:rsidR="001502D8" w:rsidRDefault="001502D8" w:rsidP="001502D8">
      <w:pPr>
        <w:pStyle w:val="Heading3-report"/>
      </w:pPr>
      <w:r>
        <w:t>Mental health facilities and their alternatives</w:t>
      </w:r>
    </w:p>
    <w:p w14:paraId="50A165D1" w14:textId="5B4B4C94" w:rsidR="001502D8" w:rsidRPr="001502D8" w:rsidRDefault="001502D8" w:rsidP="001502D8">
      <w:r>
        <w:t>Within mental health settings there are routine examples of a restriction on the right to freedom of movement. The requirement to attend compulsory meetings at a clinical mental health service represents a limitation on someone’s freedom of movement.</w:t>
      </w:r>
      <w:r w:rsidRPr="0091262D">
        <w:rPr>
          <w:rStyle w:val="FootnoteReference"/>
        </w:rPr>
        <w:footnoteReference w:id="64"/>
      </w:r>
      <w:r>
        <w:t xml:space="preserve"> It may also be limited in other programs, such as Hospital in the Home (</w:t>
      </w:r>
      <w:r w:rsidRPr="00650F42">
        <w:t>HitH</w:t>
      </w:r>
      <w:r>
        <w:t>), where individuals are required to stay in their home at the time of their appointment, in the same way that they are required to meet at a venue at a specified time.</w:t>
      </w:r>
      <w:r w:rsidRPr="0091262D">
        <w:rPr>
          <w:rStyle w:val="FootnoteReference"/>
        </w:rPr>
        <w:footnoteReference w:id="65"/>
      </w:r>
    </w:p>
    <w:p w14:paraId="0AA1C41A" w14:textId="603AF3A2" w:rsidR="002F0ACD" w:rsidRDefault="002F0ACD" w:rsidP="00705BED">
      <w:pPr>
        <w:pStyle w:val="Heading3-report"/>
      </w:pPr>
      <w:r>
        <w:t>Guardianship and administration orders</w:t>
      </w:r>
    </w:p>
    <w:p w14:paraId="3DE05114" w14:textId="14A0FAF8" w:rsidR="002F0ACD" w:rsidRDefault="00317CFC" w:rsidP="00650F42">
      <w:pPr>
        <w:spacing w:before="120"/>
      </w:pPr>
      <w:r>
        <w:t>These could include the</w:t>
      </w:r>
      <w:r w:rsidR="00C02791">
        <w:t xml:space="preserve"> inappropriate use of guardianship or administration orders to sell someone’s house, and therefore restrict their right regarding where they choose to live.</w:t>
      </w:r>
      <w:r w:rsidR="00C02791" w:rsidRPr="0091262D">
        <w:rPr>
          <w:rStyle w:val="FootnoteReference"/>
        </w:rPr>
        <w:footnoteReference w:id="66"/>
      </w:r>
      <w:r w:rsidR="00D867F5">
        <w:t xml:space="preserve"> </w:t>
      </w:r>
      <w:r w:rsidR="6D69D0D5">
        <w:t>Mental health services should always be encouraged to explore less restrictive alternatives before applying for this path. The Division may provide information and training on those alternatives to mental health staff and services.</w:t>
      </w:r>
    </w:p>
    <w:p w14:paraId="426F027F" w14:textId="74AA75D1" w:rsidR="002F0ACD" w:rsidRDefault="002F0ACD" w:rsidP="00705BED">
      <w:pPr>
        <w:pStyle w:val="Heading3-report"/>
      </w:pPr>
      <w:r>
        <w:t>Police stopping people in distress</w:t>
      </w:r>
    </w:p>
    <w:p w14:paraId="7F953CC4" w14:textId="7E23FD5F" w:rsidR="002F0ACD" w:rsidRDefault="00D867F5" w:rsidP="00650F42">
      <w:pPr>
        <w:spacing w:before="120"/>
      </w:pPr>
      <w:r>
        <w:t xml:space="preserve">The right to freedom of movement is limited by police powers to stop and request information, which can be either a proportionate limitation on the right or an unlawful breach, </w:t>
      </w:r>
      <w:r w:rsidR="00A438BC">
        <w:t>depending</w:t>
      </w:r>
      <w:r>
        <w:t xml:space="preserve"> on how </w:t>
      </w:r>
      <w:r w:rsidR="00932C40">
        <w:t>police conduct the process</w:t>
      </w:r>
      <w:r w:rsidR="008706A2">
        <w:t xml:space="preserve"> and the purpose of it</w:t>
      </w:r>
      <w:r w:rsidR="00932C40">
        <w:t>.</w:t>
      </w:r>
      <w:r w:rsidR="00932C40" w:rsidRPr="0091262D">
        <w:rPr>
          <w:rStyle w:val="FootnoteReference"/>
        </w:rPr>
        <w:footnoteReference w:id="67"/>
      </w:r>
      <w:r w:rsidR="00B50D62">
        <w:t xml:space="preserve"> </w:t>
      </w:r>
      <w:r w:rsidR="6D69D0D5">
        <w:t>Measures that regulate the lawful use of these practices by police may be important and you may have an opportunity to provide views or advice on them or to advice your Minister ahead of Cabinet deliberations. Measures to divert individuals away from police when they are in crisis is another way to promote this right.</w:t>
      </w:r>
    </w:p>
    <w:p w14:paraId="6EEA6CBD" w14:textId="2F578487" w:rsidR="002F0ACD" w:rsidRDefault="002F0ACD" w:rsidP="00705BED">
      <w:pPr>
        <w:pStyle w:val="Heading3-report"/>
      </w:pPr>
      <w:r>
        <w:lastRenderedPageBreak/>
        <w:t>Lockdown measures that impact people in distress</w:t>
      </w:r>
    </w:p>
    <w:p w14:paraId="2B5D8B2D" w14:textId="06C9FDC9" w:rsidR="00300B2B" w:rsidRDefault="00BB1E16" w:rsidP="00650F42">
      <w:pPr>
        <w:spacing w:before="120"/>
      </w:pPr>
      <w:r>
        <w:t>The recent use of lockdown measures</w:t>
      </w:r>
      <w:r w:rsidR="00E67F4D">
        <w:t xml:space="preserve"> during COVID 19</w:t>
      </w:r>
      <w:r>
        <w:t>, such as curfews</w:t>
      </w:r>
      <w:r w:rsidR="006A06AA">
        <w:t xml:space="preserve"> and stay-at-home orders</w:t>
      </w:r>
      <w:r w:rsidR="007F367E">
        <w:t xml:space="preserve">, were </w:t>
      </w:r>
      <w:r w:rsidR="00EA41E1">
        <w:t>considered a proportionate limitation on this right</w:t>
      </w:r>
      <w:r w:rsidR="00E67F4D">
        <w:t>.</w:t>
      </w:r>
      <w:r w:rsidR="00E67F4D" w:rsidRPr="0091262D">
        <w:rPr>
          <w:rStyle w:val="FootnoteReference"/>
        </w:rPr>
        <w:footnoteReference w:id="68"/>
      </w:r>
      <w:r w:rsidR="001B1E4B">
        <w:t xml:space="preserve"> </w:t>
      </w:r>
      <w:r w:rsidR="00FB6C71">
        <w:t xml:space="preserve">When working with colleagues across the Department and across government, </w:t>
      </w:r>
      <w:r w:rsidR="001B1E4B">
        <w:t xml:space="preserve">the Division may be asked to advise on the impacts of these </w:t>
      </w:r>
      <w:r w:rsidR="00FB6C71">
        <w:t xml:space="preserve">kinds of </w:t>
      </w:r>
      <w:r w:rsidR="00531917">
        <w:t>restrictions on the mental health of Victorians.</w:t>
      </w:r>
    </w:p>
    <w:p w14:paraId="754CC163" w14:textId="0A8D2F67" w:rsidR="00130312" w:rsidRDefault="00130312" w:rsidP="00130312">
      <w:pPr>
        <w:sectPr w:rsidR="00130312" w:rsidSect="00271E88">
          <w:pgSz w:w="11906" w:h="16838"/>
          <w:pgMar w:top="1440" w:right="1418" w:bottom="1440" w:left="1418" w:header="708" w:footer="708" w:gutter="0"/>
          <w:cols w:space="708"/>
          <w:titlePg/>
          <w:docGrid w:linePitch="360"/>
        </w:sectPr>
      </w:pPr>
    </w:p>
    <w:p w14:paraId="32F2DDA8" w14:textId="0A93CBA9" w:rsidR="00130312" w:rsidRDefault="00130312" w:rsidP="00130312">
      <w:pPr>
        <w:pStyle w:val="Heading1-report"/>
        <w:spacing w:before="0"/>
      </w:pPr>
      <w:r>
        <w:rPr>
          <w:noProof/>
        </w:rPr>
        <w:lastRenderedPageBreak/>
        <mc:AlternateContent>
          <mc:Choice Requires="wps">
            <w:drawing>
              <wp:anchor distT="0" distB="0" distL="114300" distR="114300" simplePos="0" relativeHeight="251658264" behindDoc="1" locked="0" layoutInCell="1" allowOverlap="1" wp14:anchorId="42360926" wp14:editId="5E1EAEFD">
                <wp:simplePos x="0" y="0"/>
                <wp:positionH relativeFrom="page">
                  <wp:align>left</wp:align>
                </wp:positionH>
                <wp:positionV relativeFrom="paragraph">
                  <wp:posOffset>-901811</wp:posOffset>
                </wp:positionV>
                <wp:extent cx="10693593" cy="8302752"/>
                <wp:effectExtent l="0" t="0" r="12700" b="22225"/>
                <wp:wrapNone/>
                <wp:docPr id="221" name="Rectangle 221"/>
                <wp:cNvGraphicFramePr/>
                <a:graphic xmlns:a="http://schemas.openxmlformats.org/drawingml/2006/main">
                  <a:graphicData uri="http://schemas.microsoft.com/office/word/2010/wordprocessingShape">
                    <wps:wsp>
                      <wps:cNvSpPr/>
                      <wps:spPr>
                        <a:xfrm>
                          <a:off x="0" y="0"/>
                          <a:ext cx="10693593" cy="8302752"/>
                        </a:xfrm>
                        <a:prstGeom prst="rect">
                          <a:avLst/>
                        </a:prstGeom>
                        <a:solidFill>
                          <a:srgbClr val="D0E8E9"/>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4757D0" w14:textId="77777777" w:rsidR="00130312" w:rsidRDefault="00130312" w:rsidP="001303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60926" id="Rectangle 221" o:spid="_x0000_s1036" style="position:absolute;margin-left:0;margin-top:-71pt;width:842pt;height:653.75pt;z-index:-251658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" fillcolor="#d0e8e9" strokecolor="#1b383a [1604]" strokeweight="1pt">
                <v:textbox>
                  <w:txbxContent>
                    <w:p w14:paraId="6E4757D0" w14:textId="77777777" w:rsidR="00130312" w:rsidRDefault="00130312" w:rsidP="00130312">
                      <w:pPr>
                        <w:jc w:val="center"/>
                      </w:pPr>
                    </w:p>
                  </w:txbxContent>
                </v:textbox>
                <w10:wrap anchorx="page"/>
              </v:rect>
            </w:pict>
          </mc:Fallback>
        </mc:AlternateContent>
      </w:r>
      <w:r>
        <w:t xml:space="preserve">TAKE-HOMES: </w:t>
      </w:r>
      <w:r w:rsidR="00AF7FD8">
        <w:t>FREEDOM OF MOVEMENT</w:t>
      </w:r>
    </w:p>
    <w:tbl>
      <w:tblPr>
        <w:tblStyle w:val="TableGridLight"/>
        <w:tblW w:w="15446" w:type="dxa"/>
        <w:tblCellMar>
          <w:bottom w:w="284" w:type="dxa"/>
        </w:tblCellMar>
        <w:tblLook w:val="04A0" w:firstRow="1" w:lastRow="0" w:firstColumn="1" w:lastColumn="0" w:noHBand="0" w:noVBand="1"/>
      </w:tblPr>
      <w:tblGrid>
        <w:gridCol w:w="1056"/>
        <w:gridCol w:w="6085"/>
        <w:gridCol w:w="1056"/>
        <w:gridCol w:w="7249"/>
      </w:tblGrid>
      <w:tr w:rsidR="00182A64" w14:paraId="2D11CC98" w14:textId="77777777" w:rsidTr="6D69D0D5">
        <w:tc>
          <w:tcPr>
            <w:tcW w:w="1056" w:type="dxa"/>
          </w:tcPr>
          <w:p w14:paraId="2A2E538B" w14:textId="77777777" w:rsidR="00182A64" w:rsidRDefault="00182A64" w:rsidP="00182A64">
            <w:r>
              <w:rPr>
                <w:noProof/>
              </w:rPr>
              <w:drawing>
                <wp:inline distT="0" distB="0" distL="0" distR="0" wp14:anchorId="48CCE4AA" wp14:editId="776D3B13">
                  <wp:extent cx="526774" cy="526774"/>
                  <wp:effectExtent l="0" t="0" r="6985" b="6985"/>
                  <wp:docPr id="222" name="Graphic 222"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6085" w:type="dxa"/>
          </w:tcPr>
          <w:p w14:paraId="4E47C959" w14:textId="01EC1E22" w:rsidR="00182A64" w:rsidRDefault="00182A64" w:rsidP="00182A64">
            <w:pPr>
              <w:pStyle w:val="Heading3-report"/>
            </w:pPr>
            <w:r>
              <w:t>Consider the use of locked mental health wards</w:t>
            </w:r>
          </w:p>
          <w:p w14:paraId="33042A9B" w14:textId="4B2C0934" w:rsidR="00182A64" w:rsidRPr="007A1180" w:rsidRDefault="00182A64" w:rsidP="00182A64">
            <w:r>
              <w:rPr>
                <w:sz w:val="22"/>
                <w:szCs w:val="20"/>
              </w:rPr>
              <w:t>Consider the utility of the ongoing use of locked wards. As systems steward and manager, the Department and Chief Mental Health Officer should set standards on the use of locked wards and whether they remain a reasonable restriction on this right.</w:t>
            </w:r>
          </w:p>
        </w:tc>
        <w:tc>
          <w:tcPr>
            <w:tcW w:w="1056" w:type="dxa"/>
          </w:tcPr>
          <w:p w14:paraId="41E35CE4" w14:textId="28C9C127" w:rsidR="00182A64" w:rsidRDefault="00182A64" w:rsidP="00182A64">
            <w:r>
              <w:rPr>
                <w:noProof/>
              </w:rPr>
              <w:drawing>
                <wp:inline distT="0" distB="0" distL="0" distR="0" wp14:anchorId="5F03AC9D" wp14:editId="2B01ECC3">
                  <wp:extent cx="526774" cy="526774"/>
                  <wp:effectExtent l="0" t="0" r="6985" b="6985"/>
                  <wp:docPr id="224" name="Graphic 224"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7249" w:type="dxa"/>
          </w:tcPr>
          <w:p w14:paraId="03E4B3A2" w14:textId="77777777" w:rsidR="00182A64" w:rsidRDefault="00182A64" w:rsidP="00182A64">
            <w:pPr>
              <w:pStyle w:val="Heading3-report"/>
            </w:pPr>
            <w:r>
              <w:t>Require existing community service models to show flexibility</w:t>
            </w:r>
          </w:p>
          <w:p w14:paraId="310878DF" w14:textId="77CC0991" w:rsidR="00182A64" w:rsidRPr="00861362" w:rsidRDefault="00182A64" w:rsidP="00182A64">
            <w:r>
              <w:t>The requirement to attend a community clinic restricts a person’s freedom of movement. The Department should develop guidelines and service standards that require a mental health service to consider more flexible ways of responding to a person’s individual needs, such as use of a mobile support team. This will not be possible in all circumstances, but service design processes and individual clinician decision-making processes must consider this right.</w:t>
            </w:r>
          </w:p>
        </w:tc>
      </w:tr>
    </w:tbl>
    <w:p w14:paraId="1CA3FA24" w14:textId="77777777" w:rsidR="00130312" w:rsidRDefault="00130312" w:rsidP="00955737">
      <w:pPr>
        <w:sectPr w:rsidR="00130312" w:rsidSect="00130312">
          <w:pgSz w:w="16838" w:h="11906" w:orient="landscape"/>
          <w:pgMar w:top="720" w:right="720" w:bottom="720" w:left="720" w:header="708" w:footer="708" w:gutter="0"/>
          <w:cols w:space="708"/>
          <w:titlePg/>
          <w:docGrid w:linePitch="360"/>
        </w:sectPr>
      </w:pPr>
    </w:p>
    <w:p w14:paraId="58DC6B6E" w14:textId="4827055B" w:rsidR="00A9204B" w:rsidRDefault="00A0641E" w:rsidP="007A4E66">
      <w:pPr>
        <w:pStyle w:val="Heading1-report"/>
        <w:spacing w:before="0"/>
        <w:ind w:left="720" w:firstLine="720"/>
      </w:pPr>
      <w:r>
        <w:rPr>
          <w:noProof/>
        </w:rPr>
        <w:lastRenderedPageBreak/>
        <w:drawing>
          <wp:anchor distT="0" distB="0" distL="114300" distR="114300" simplePos="0" relativeHeight="251658263" behindDoc="0" locked="0" layoutInCell="1" allowOverlap="1" wp14:anchorId="298B14BF" wp14:editId="2EC14953">
            <wp:simplePos x="0" y="0"/>
            <wp:positionH relativeFrom="margin">
              <wp:align>left</wp:align>
            </wp:positionH>
            <wp:positionV relativeFrom="paragraph">
              <wp:posOffset>0</wp:posOffset>
            </wp:positionV>
            <wp:extent cx="545911" cy="545911"/>
            <wp:effectExtent l="0" t="0" r="6985" b="6985"/>
            <wp:wrapNone/>
            <wp:docPr id="203" name="Picture 203" descr="Symbol of eye, but crosse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descr="Symbol of eye, but crossed out"/>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48982" cy="548982"/>
                    </a:xfrm>
                    <a:prstGeom prst="rect">
                      <a:avLst/>
                    </a:prstGeom>
                    <a:noFill/>
                    <a:ln>
                      <a:noFill/>
                    </a:ln>
                  </pic:spPr>
                </pic:pic>
              </a:graphicData>
            </a:graphic>
            <wp14:sizeRelH relativeFrom="page">
              <wp14:pctWidth>0</wp14:pctWidth>
            </wp14:sizeRelH>
            <wp14:sizeRelV relativeFrom="page">
              <wp14:pctHeight>0</wp14:pctHeight>
            </wp14:sizeRelV>
          </wp:anchor>
        </w:drawing>
      </w:r>
      <w:r w:rsidR="00A9204B">
        <w:t>Privacy and reputation (section 13)</w:t>
      </w:r>
    </w:p>
    <w:p w14:paraId="129FD6CE" w14:textId="61875519" w:rsidR="00741F8F" w:rsidRDefault="00D30260" w:rsidP="00D30260">
      <w:pPr>
        <w:spacing w:after="240"/>
      </w:pPr>
      <w:r>
        <w:rPr>
          <w:noProof/>
        </w:rPr>
        <mc:AlternateContent>
          <mc:Choice Requires="wps">
            <w:drawing>
              <wp:anchor distT="45720" distB="45720" distL="114300" distR="114300" simplePos="0" relativeHeight="251658293" behindDoc="0" locked="0" layoutInCell="1" allowOverlap="1" wp14:anchorId="545088C1" wp14:editId="5B6FEF1F">
                <wp:simplePos x="0" y="0"/>
                <wp:positionH relativeFrom="margin">
                  <wp:align>right</wp:align>
                </wp:positionH>
                <wp:positionV relativeFrom="paragraph">
                  <wp:posOffset>536575</wp:posOffset>
                </wp:positionV>
                <wp:extent cx="5735955" cy="1404620"/>
                <wp:effectExtent l="0" t="0" r="17145" b="20320"/>
                <wp:wrapSquare wrapText="bothSides"/>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404620"/>
                        </a:xfrm>
                        <a:prstGeom prst="rect">
                          <a:avLst/>
                        </a:prstGeom>
                        <a:solidFill>
                          <a:srgbClr val="201547"/>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287371D4" w14:textId="77777777" w:rsidR="00D30260" w:rsidRPr="00D30260" w:rsidRDefault="00D30260" w:rsidP="00D30260">
                            <w:pPr>
                              <w:pStyle w:val="Heading3-report"/>
                              <w:rPr>
                                <w:color w:val="FFFFFF" w:themeColor="background1"/>
                              </w:rPr>
                            </w:pPr>
                            <w:r w:rsidRPr="00D30260">
                              <w:rPr>
                                <w:color w:val="FFFFFF" w:themeColor="background1"/>
                              </w:rPr>
                              <w:t>Section 13 Privacy and reputation</w:t>
                            </w:r>
                          </w:p>
                          <w:p w14:paraId="6FE29380" w14:textId="77777777" w:rsidR="00D30260" w:rsidRPr="00D30260" w:rsidRDefault="00D30260" w:rsidP="00D30260">
                            <w:pPr>
                              <w:rPr>
                                <w:color w:val="FFFFFF" w:themeColor="background1"/>
                              </w:rPr>
                            </w:pPr>
                            <w:r w:rsidRPr="00D30260">
                              <w:rPr>
                                <w:color w:val="FFFFFF" w:themeColor="background1"/>
                              </w:rPr>
                              <w:t xml:space="preserve">A person has the right </w:t>
                            </w:r>
                            <w:r w:rsidRPr="00D30260">
                              <w:rPr>
                                <w:color w:val="FFFFFF" w:themeColor="background1"/>
                              </w:rPr>
                              <w:softHyphen/>
                              <w:t>—</w:t>
                            </w:r>
                          </w:p>
                          <w:p w14:paraId="7774B4A1" w14:textId="77777777" w:rsidR="00D30260" w:rsidRPr="00D30260" w:rsidRDefault="00D30260" w:rsidP="00E225B4">
                            <w:pPr>
                              <w:pStyle w:val="ListParagraph"/>
                              <w:numPr>
                                <w:ilvl w:val="0"/>
                                <w:numId w:val="9"/>
                              </w:numPr>
                              <w:rPr>
                                <w:color w:val="FFFFFF" w:themeColor="background1"/>
                              </w:rPr>
                            </w:pPr>
                            <w:r w:rsidRPr="00D30260">
                              <w:rPr>
                                <w:color w:val="FFFFFF" w:themeColor="background1"/>
                              </w:rPr>
                              <w:t>not to have that person’s privacy, family, home or correspondence unlawfully or arbitrarily interfered with; and</w:t>
                            </w:r>
                          </w:p>
                          <w:p w14:paraId="54369D18" w14:textId="61B4FDAD" w:rsidR="00D30260" w:rsidRPr="00D30260" w:rsidRDefault="00D30260" w:rsidP="00E225B4">
                            <w:pPr>
                              <w:pStyle w:val="ListParagraph"/>
                              <w:numPr>
                                <w:ilvl w:val="0"/>
                                <w:numId w:val="9"/>
                              </w:numPr>
                              <w:rPr>
                                <w:color w:val="FFFFFF" w:themeColor="background1"/>
                              </w:rPr>
                            </w:pPr>
                            <w:r w:rsidRPr="00D30260">
                              <w:rPr>
                                <w:color w:val="FFFFFF" w:themeColor="background1"/>
                              </w:rPr>
                              <w:t>not to have that person’s reputation unlawfully attacked.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5088C1" id="Text Box 246" o:spid="_x0000_s1037" type="#_x0000_t202" style="position:absolute;margin-left:400.45pt;margin-top:42.25pt;width:451.65pt;height:110.6pt;z-index:25165829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" fillcolor="#201547" strokecolor="#1b383a [1604]" strokeweight="1pt">
                <v:textbox style="mso-fit-shape-to-text:t">
                  <w:txbxContent>
                    <w:p w14:paraId="287371D4" w14:textId="77777777" w:rsidR="00D30260" w:rsidRPr="00D30260" w:rsidRDefault="00D30260" w:rsidP="00D30260">
                      <w:pPr>
                        <w:pStyle w:val="Heading3-report"/>
                        <w:rPr>
                          <w:color w:val="FFFFFF" w:themeColor="background1"/>
                        </w:rPr>
                      </w:pPr>
                      <w:r w:rsidRPr="00D30260">
                        <w:rPr>
                          <w:color w:val="FFFFFF" w:themeColor="background1"/>
                        </w:rPr>
                        <w:t>Section 13 Privacy and reputation</w:t>
                      </w:r>
                    </w:p>
                    <w:p w14:paraId="6FE29380" w14:textId="77777777" w:rsidR="00D30260" w:rsidRPr="00D30260" w:rsidRDefault="00D30260" w:rsidP="00D30260">
                      <w:pPr>
                        <w:rPr>
                          <w:color w:val="FFFFFF" w:themeColor="background1"/>
                        </w:rPr>
                      </w:pPr>
                      <w:r w:rsidRPr="00D30260">
                        <w:rPr>
                          <w:color w:val="FFFFFF" w:themeColor="background1"/>
                        </w:rPr>
                        <w:t xml:space="preserve">A person has the right </w:t>
                      </w:r>
                      <w:r w:rsidRPr="00D30260">
                        <w:rPr>
                          <w:color w:val="FFFFFF" w:themeColor="background1"/>
                        </w:rPr>
                        <w:softHyphen/>
                        <w:t>—</w:t>
                      </w:r>
                    </w:p>
                    <w:p w14:paraId="7774B4A1" w14:textId="77777777" w:rsidR="00D30260" w:rsidRPr="00D30260" w:rsidRDefault="00D30260" w:rsidP="00E225B4">
                      <w:pPr>
                        <w:pStyle w:val="ListParagraph"/>
                        <w:numPr>
                          <w:ilvl w:val="0"/>
                          <w:numId w:val="9"/>
                        </w:numPr>
                        <w:rPr>
                          <w:color w:val="FFFFFF" w:themeColor="background1"/>
                        </w:rPr>
                      </w:pPr>
                      <w:r w:rsidRPr="00D30260">
                        <w:rPr>
                          <w:color w:val="FFFFFF" w:themeColor="background1"/>
                        </w:rPr>
                        <w:t>not to have that person’s privacy, family, home or correspondence unlawfully or arbitrarily interfered with; and</w:t>
                      </w:r>
                    </w:p>
                    <w:p w14:paraId="54369D18" w14:textId="61B4FDAD" w:rsidR="00D30260" w:rsidRPr="00D30260" w:rsidRDefault="00D30260" w:rsidP="00E225B4">
                      <w:pPr>
                        <w:pStyle w:val="ListParagraph"/>
                        <w:numPr>
                          <w:ilvl w:val="0"/>
                          <w:numId w:val="9"/>
                        </w:numPr>
                        <w:rPr>
                          <w:color w:val="FFFFFF" w:themeColor="background1"/>
                        </w:rPr>
                      </w:pPr>
                      <w:r w:rsidRPr="00D30260">
                        <w:rPr>
                          <w:color w:val="FFFFFF" w:themeColor="background1"/>
                        </w:rPr>
                        <w:t>not to have that person’s reputation unlawfully attacked.</w:t>
                      </w:r>
                    </w:p>
                  </w:txbxContent>
                </v:textbox>
                <w10:wrap type="square" anchorx="margin"/>
              </v:shape>
            </w:pict>
          </mc:Fallback>
        </mc:AlternateContent>
      </w:r>
    </w:p>
    <w:p w14:paraId="2BB0DC96" w14:textId="742A69CE" w:rsidR="002F0ACD" w:rsidRDefault="002C4DD9" w:rsidP="00531917">
      <w:pPr>
        <w:pStyle w:val="BoldedRightsIntro"/>
      </w:pPr>
      <w:r w:rsidRPr="00D30260">
        <w:t xml:space="preserve">Privacy </w:t>
      </w:r>
      <w:r w:rsidR="00247F66" w:rsidRPr="00D30260">
        <w:t xml:space="preserve">and reputation </w:t>
      </w:r>
      <w:r w:rsidRPr="00D30260">
        <w:t>is of increasing importance to Australians concerned about their digital</w:t>
      </w:r>
      <w:r w:rsidR="00247F66" w:rsidRPr="00D30260">
        <w:t xml:space="preserve"> footprints.</w:t>
      </w:r>
      <w:r w:rsidR="00A348BC" w:rsidRPr="00D30260">
        <w:t xml:space="preserve"> So is the</w:t>
      </w:r>
      <w:r w:rsidR="00747825" w:rsidRPr="00D30260">
        <w:t xml:space="preserve"> </w:t>
      </w:r>
      <w:r w:rsidR="004C0F77" w:rsidRPr="00D30260">
        <w:t>‘</w:t>
      </w:r>
      <w:r w:rsidR="00747825" w:rsidRPr="00D30260">
        <w:t>privacy</w:t>
      </w:r>
      <w:r w:rsidR="004C0F77" w:rsidRPr="00D30260">
        <w:t>’</w:t>
      </w:r>
      <w:r w:rsidR="00747825" w:rsidRPr="00D30260">
        <w:t>, or integrity, of our physical</w:t>
      </w:r>
      <w:r w:rsidR="00A52B04" w:rsidRPr="00D30260">
        <w:t xml:space="preserve"> </w:t>
      </w:r>
      <w:r w:rsidR="00747825" w:rsidRPr="00D30260">
        <w:t>and psychological selves</w:t>
      </w:r>
      <w:r w:rsidR="0033311C" w:rsidRPr="00D30260">
        <w:t xml:space="preserve"> (our bodies and our minds)</w:t>
      </w:r>
      <w:r w:rsidR="00747825" w:rsidRPr="00D30260">
        <w:t xml:space="preserve">. </w:t>
      </w:r>
      <w:r w:rsidR="00247F66" w:rsidRPr="00D30260">
        <w:t>However, these have long been the concern of mental health consumers. Incursions on the private lives</w:t>
      </w:r>
      <w:r w:rsidR="00A15406" w:rsidRPr="00D30260">
        <w:t xml:space="preserve"> of consumers</w:t>
      </w:r>
      <w:r w:rsidR="00247F66" w:rsidRPr="00D30260">
        <w:t xml:space="preserve"> have been </w:t>
      </w:r>
      <w:r w:rsidR="00A15406" w:rsidRPr="00D30260">
        <w:t>a</w:t>
      </w:r>
      <w:r w:rsidR="00761C20" w:rsidRPr="00D30260">
        <w:t>n almost</w:t>
      </w:r>
      <w:r w:rsidR="00A15406" w:rsidRPr="00D30260">
        <w:t xml:space="preserve"> </w:t>
      </w:r>
      <w:r w:rsidR="00D72E77" w:rsidRPr="00D30260">
        <w:t xml:space="preserve">constant </w:t>
      </w:r>
      <w:r w:rsidR="00A15406" w:rsidRPr="00D30260">
        <w:t xml:space="preserve">feature of public mental health systems. Describing people in ways that they would not describe </w:t>
      </w:r>
      <w:r w:rsidR="00A15406" w:rsidRPr="00531917">
        <w:t>themselves</w:t>
      </w:r>
      <w:r w:rsidR="00A15406" w:rsidRPr="00D30260">
        <w:t xml:space="preserve"> has also been standard practice.</w:t>
      </w:r>
      <w:r w:rsidR="00A52B04" w:rsidRPr="00D30260">
        <w:t xml:space="preserve"> The questions asked and the treatments given often invade a person’s </w:t>
      </w:r>
      <w:r w:rsidR="000F6339" w:rsidRPr="00D30260">
        <w:t xml:space="preserve">physical and psychological self. This </w:t>
      </w:r>
      <w:r w:rsidR="00F8118F" w:rsidRPr="00D30260">
        <w:t xml:space="preserve">questioning </w:t>
      </w:r>
      <w:r w:rsidR="000F6339" w:rsidRPr="00D30260">
        <w:t>can be through assessments and diagnoses, as well as through compulsory or coercive treatments.</w:t>
      </w:r>
      <w:r w:rsidR="00A52B04" w:rsidRPr="00D30260">
        <w:t xml:space="preserve"> </w:t>
      </w:r>
    </w:p>
    <w:p w14:paraId="213B3FB2" w14:textId="5C8CD70F" w:rsidR="00A15406" w:rsidRDefault="00A15406" w:rsidP="006C0A34">
      <w:r>
        <w:t>The right to privacy</w:t>
      </w:r>
      <w:r w:rsidR="000F51B8">
        <w:t xml:space="preserve"> under the Charter aims to enhance ‘the existence, autonomy, security and wellbeing of every individual</w:t>
      </w:r>
      <w:r w:rsidR="00D83B40">
        <w:t xml:space="preserve"> in their own private sphere.’</w:t>
      </w:r>
      <w:r w:rsidR="00D83B40" w:rsidRPr="0091262D">
        <w:rPr>
          <w:rStyle w:val="FootnoteReference"/>
        </w:rPr>
        <w:footnoteReference w:id="69"/>
      </w:r>
      <w:r w:rsidR="00D83B40">
        <w:t xml:space="preserve"> </w:t>
      </w:r>
      <w:r w:rsidR="000B17F1">
        <w:t xml:space="preserve">The right </w:t>
      </w:r>
      <w:r w:rsidR="00884991">
        <w:t xml:space="preserve">has two limbs. The first regarding privacy, and the second regarding reputation. Within the first limb there are three distinct fields </w:t>
      </w:r>
      <w:r w:rsidR="00CC5C78">
        <w:t>that are protected, being the person’s ‘privacy’, ‘family’ or ‘correspondence’.</w:t>
      </w:r>
      <w:r w:rsidR="00AB0E58">
        <w:t xml:space="preserve"> </w:t>
      </w:r>
      <w:r w:rsidR="00C23335">
        <w:t xml:space="preserve">It requires that </w:t>
      </w:r>
      <w:r w:rsidR="0009654F">
        <w:t>these fields not be ‘unlawfully’ or ‘arbitrarily’</w:t>
      </w:r>
      <w:r w:rsidR="00AB72B0" w:rsidRPr="0091262D">
        <w:rPr>
          <w:rStyle w:val="FootnoteReference"/>
        </w:rPr>
        <w:footnoteReference w:id="70"/>
      </w:r>
      <w:r w:rsidR="0009654F">
        <w:t xml:space="preserve"> interfered with. </w:t>
      </w:r>
      <w:r w:rsidR="005B26DA">
        <w:t>This</w:t>
      </w:r>
      <w:r w:rsidR="0097215D">
        <w:t xml:space="preserve"> is not</w:t>
      </w:r>
      <w:r w:rsidR="005B26DA">
        <w:t xml:space="preserve"> just an obligation to avoid interfering with a person’s privacy, but </w:t>
      </w:r>
      <w:r w:rsidR="002D4843">
        <w:t>may extend an obligation on governments to take active steps to prevent interference (a ‘positive duty’).</w:t>
      </w:r>
      <w:r w:rsidR="0095574F" w:rsidRPr="0091262D">
        <w:rPr>
          <w:rStyle w:val="FootnoteReference"/>
        </w:rPr>
        <w:footnoteReference w:id="71"/>
      </w:r>
    </w:p>
    <w:p w14:paraId="6CD22E71" w14:textId="7E4EC7D8" w:rsidR="008936BE" w:rsidRDefault="00531917" w:rsidP="00531917">
      <w:pPr>
        <w:pStyle w:val="Heading2-report"/>
      </w:pPr>
      <w:r>
        <w:t>Defining terms in this right</w:t>
      </w:r>
    </w:p>
    <w:p w14:paraId="329B2E00" w14:textId="0EB6BC52" w:rsidR="00A776F9" w:rsidRPr="00A776F9" w:rsidRDefault="00A776F9" w:rsidP="00531917">
      <w:pPr>
        <w:pStyle w:val="Heading3-report"/>
      </w:pPr>
      <w:r>
        <w:t>What ‘privacy’ means</w:t>
      </w:r>
    </w:p>
    <w:p w14:paraId="6689970F" w14:textId="33024A47" w:rsidR="00A776F9" w:rsidRDefault="009E57FF" w:rsidP="006C2855">
      <w:r>
        <w:t>The concept of ‘privacy’</w:t>
      </w:r>
      <w:r w:rsidR="0097385B">
        <w:t xml:space="preserve"> has no precise</w:t>
      </w:r>
      <w:r>
        <w:t xml:space="preserve"> definition.</w:t>
      </w:r>
      <w:r w:rsidR="00076DF1" w:rsidRPr="0091262D">
        <w:rPr>
          <w:rStyle w:val="FootnoteReference"/>
        </w:rPr>
        <w:footnoteReference w:id="72"/>
      </w:r>
      <w:r w:rsidR="00C76E33">
        <w:t xml:space="preserve"> </w:t>
      </w:r>
      <w:r w:rsidR="6D69D0D5">
        <w:t>But it is broader than what many folk or community understandings of the term are, which commonly only focus on private information. Under the Charter and human rights law, it includes a person’s:</w:t>
      </w:r>
    </w:p>
    <w:p w14:paraId="51C8872A" w14:textId="4855192F" w:rsidR="00A776F9" w:rsidRDefault="6D69D0D5" w:rsidP="00E225B4">
      <w:pPr>
        <w:pStyle w:val="ListParagraph"/>
        <w:numPr>
          <w:ilvl w:val="0"/>
          <w:numId w:val="41"/>
        </w:numPr>
      </w:pPr>
      <w:r>
        <w:t>individual identity (including sexual identity)</w:t>
      </w:r>
      <w:r w:rsidR="006610FE" w:rsidRPr="0091262D">
        <w:rPr>
          <w:rStyle w:val="FootnoteReference"/>
        </w:rPr>
        <w:footnoteReference w:id="73"/>
      </w:r>
    </w:p>
    <w:p w14:paraId="190F666B" w14:textId="51FC3E26" w:rsidR="006610FE" w:rsidRDefault="6D69D0D5" w:rsidP="00E225B4">
      <w:pPr>
        <w:pStyle w:val="ListParagraph"/>
        <w:numPr>
          <w:ilvl w:val="0"/>
          <w:numId w:val="41"/>
        </w:numPr>
      </w:pPr>
      <w:r>
        <w:lastRenderedPageBreak/>
        <w:t>physical and psychological integrity</w:t>
      </w:r>
      <w:r w:rsidR="009E40E1" w:rsidRPr="0091262D">
        <w:rPr>
          <w:rStyle w:val="FootnoteReference"/>
        </w:rPr>
        <w:footnoteReference w:id="74"/>
      </w:r>
    </w:p>
    <w:p w14:paraId="1A431AC3" w14:textId="566521ED" w:rsidR="009E40E1" w:rsidRDefault="6D69D0D5" w:rsidP="00E225B4">
      <w:pPr>
        <w:pStyle w:val="ListParagraph"/>
        <w:numPr>
          <w:ilvl w:val="0"/>
          <w:numId w:val="41"/>
        </w:numPr>
      </w:pPr>
      <w:r>
        <w:t>‘informational’ privacy</w:t>
      </w:r>
      <w:r w:rsidR="0043101C" w:rsidRPr="0091262D">
        <w:rPr>
          <w:rStyle w:val="FootnoteReference"/>
        </w:rPr>
        <w:footnoteReference w:id="75"/>
      </w:r>
      <w:r>
        <w:t xml:space="preserve"> as reflected under privacy laws.</w:t>
      </w:r>
      <w:r w:rsidR="0043101C" w:rsidRPr="0091262D">
        <w:rPr>
          <w:rStyle w:val="FootnoteReference"/>
        </w:rPr>
        <w:footnoteReference w:id="76"/>
      </w:r>
    </w:p>
    <w:p w14:paraId="585D6D75" w14:textId="4BBF3EDB" w:rsidR="00290B06" w:rsidRDefault="00884D63" w:rsidP="00531917">
      <w:pPr>
        <w:pStyle w:val="Heading3-report"/>
      </w:pPr>
      <w:r>
        <w:t>What other terms mean</w:t>
      </w:r>
    </w:p>
    <w:p w14:paraId="6BDDD6D2" w14:textId="50409623" w:rsidR="00884D63" w:rsidRDefault="00884D63" w:rsidP="00884D63">
      <w:pPr>
        <w:rPr>
          <w:lang w:eastAsia="en-AU"/>
        </w:rPr>
      </w:pPr>
      <w:r>
        <w:rPr>
          <w:lang w:eastAsia="en-AU"/>
        </w:rPr>
        <w:t>There are several other terms that have specific meanings under this right. They include:</w:t>
      </w:r>
    </w:p>
    <w:p w14:paraId="46DD098D" w14:textId="554BE6DB" w:rsidR="00884D63" w:rsidRDefault="6D69D0D5" w:rsidP="00E225B4">
      <w:pPr>
        <w:pStyle w:val="ListParagraph"/>
        <w:numPr>
          <w:ilvl w:val="0"/>
          <w:numId w:val="42"/>
        </w:numPr>
        <w:rPr>
          <w:lang w:eastAsia="en-AU"/>
        </w:rPr>
      </w:pPr>
      <w:r w:rsidRPr="6D69D0D5">
        <w:rPr>
          <w:lang w:eastAsia="en-AU"/>
        </w:rPr>
        <w:t>‘Family’ which goes beyond traditional marriage- or cohabitation-based arrangements to include other family structures</w:t>
      </w:r>
      <w:r w:rsidR="00BC760B" w:rsidRPr="0091262D">
        <w:rPr>
          <w:rStyle w:val="FootnoteReference"/>
        </w:rPr>
        <w:footnoteReference w:id="77"/>
      </w:r>
      <w:r w:rsidRPr="6D69D0D5">
        <w:rPr>
          <w:lang w:eastAsia="en-AU"/>
        </w:rPr>
        <w:t xml:space="preserve"> non-heteronormative relationship structures</w:t>
      </w:r>
      <w:r w:rsidR="007E5533" w:rsidRPr="0091262D">
        <w:rPr>
          <w:rStyle w:val="FootnoteReference"/>
        </w:rPr>
        <w:footnoteReference w:id="78"/>
      </w:r>
    </w:p>
    <w:p w14:paraId="65CB9DA4" w14:textId="0BF3066B" w:rsidR="00953B1D" w:rsidRDefault="6D69D0D5" w:rsidP="00E225B4">
      <w:pPr>
        <w:pStyle w:val="ListParagraph"/>
        <w:numPr>
          <w:ilvl w:val="0"/>
          <w:numId w:val="42"/>
        </w:numPr>
        <w:rPr>
          <w:lang w:eastAsia="en-AU"/>
        </w:rPr>
      </w:pPr>
      <w:r w:rsidRPr="6D69D0D5">
        <w:rPr>
          <w:lang w:eastAsia="en-AU"/>
        </w:rPr>
        <w:t>‘Home’ which is understood on a case-by-case basis as broadly reflecting someone’s connection with a place</w:t>
      </w:r>
      <w:r w:rsidR="00F93BD4" w:rsidRPr="0091262D">
        <w:rPr>
          <w:rStyle w:val="FootnoteReference"/>
        </w:rPr>
        <w:footnoteReference w:id="79"/>
      </w:r>
      <w:r w:rsidRPr="6D69D0D5">
        <w:rPr>
          <w:lang w:eastAsia="en-AU"/>
        </w:rPr>
        <w:t xml:space="preserve"> and doesn’t necessarily mean the person has to have a legal right to the place</w:t>
      </w:r>
      <w:r w:rsidR="002C2703" w:rsidRPr="0091262D">
        <w:rPr>
          <w:rStyle w:val="FootnoteReference"/>
        </w:rPr>
        <w:footnoteReference w:id="80"/>
      </w:r>
      <w:r w:rsidRPr="6D69D0D5">
        <w:rPr>
          <w:lang w:eastAsia="en-AU"/>
        </w:rPr>
        <w:t xml:space="preserve"> or reside there</w:t>
      </w:r>
      <w:r w:rsidR="002C2703" w:rsidRPr="0091262D">
        <w:rPr>
          <w:rStyle w:val="FootnoteReference"/>
        </w:rPr>
        <w:footnoteReference w:id="81"/>
      </w:r>
    </w:p>
    <w:p w14:paraId="36DD6DC2" w14:textId="6F5329E1" w:rsidR="001529B5" w:rsidRDefault="6D69D0D5" w:rsidP="00E225B4">
      <w:pPr>
        <w:pStyle w:val="ListParagraph"/>
        <w:numPr>
          <w:ilvl w:val="0"/>
          <w:numId w:val="42"/>
        </w:numPr>
      </w:pPr>
      <w:r w:rsidRPr="6D69D0D5">
        <w:rPr>
          <w:lang w:eastAsia="en-AU"/>
        </w:rPr>
        <w:t>‘Correspondence’ which can mean any form of a person’s communication.</w:t>
      </w:r>
      <w:r w:rsidR="00E526A9" w:rsidRPr="0091262D">
        <w:rPr>
          <w:rStyle w:val="FootnoteReference"/>
        </w:rPr>
        <w:footnoteReference w:id="82"/>
      </w:r>
      <w:r>
        <w:t xml:space="preserve"> </w:t>
      </w:r>
    </w:p>
    <w:p w14:paraId="62833151" w14:textId="316C8A82" w:rsidR="006B1797" w:rsidRDefault="00531917" w:rsidP="00531917">
      <w:pPr>
        <w:pStyle w:val="Heading2-report"/>
      </w:pPr>
      <w:r>
        <w:t>When this could arise in your work</w:t>
      </w:r>
    </w:p>
    <w:p w14:paraId="6BC36F4A" w14:textId="7EF5BA32" w:rsidR="006B1797" w:rsidRDefault="006B1797" w:rsidP="006B1797">
      <w:r>
        <w:t>There are a range of examples where the right to privacy is engaged. These include:</w:t>
      </w:r>
    </w:p>
    <w:p w14:paraId="053D5D6F" w14:textId="2D4D697E" w:rsidR="006B1797" w:rsidRDefault="00614A2C" w:rsidP="00E225B4">
      <w:pPr>
        <w:pStyle w:val="ListParagraph"/>
        <w:numPr>
          <w:ilvl w:val="0"/>
          <w:numId w:val="10"/>
        </w:numPr>
      </w:pPr>
      <w:r>
        <w:t>when developing laws and policies about when consumer information can be shared and with whom</w:t>
      </w:r>
    </w:p>
    <w:p w14:paraId="5AEF1E6A" w14:textId="0E2ACB5B" w:rsidR="006B1797" w:rsidRDefault="00614A2C" w:rsidP="00E225B4">
      <w:pPr>
        <w:pStyle w:val="ListParagraph"/>
        <w:numPr>
          <w:ilvl w:val="0"/>
          <w:numId w:val="10"/>
        </w:numPr>
      </w:pPr>
      <w:r>
        <w:t xml:space="preserve">when dealing with the right to </w:t>
      </w:r>
      <w:r w:rsidRPr="6D69D0D5">
        <w:rPr>
          <w:i/>
          <w:iCs/>
        </w:rPr>
        <w:t>access</w:t>
      </w:r>
      <w:r>
        <w:t xml:space="preserve"> private information held about oneself by government authorities</w:t>
      </w:r>
      <w:r w:rsidR="003B2D71">
        <w:t>,</w:t>
      </w:r>
      <w:r w:rsidR="00EF5C7D" w:rsidRPr="0091262D">
        <w:rPr>
          <w:rStyle w:val="FootnoteReference"/>
        </w:rPr>
        <w:footnoteReference w:id="83"/>
      </w:r>
      <w:r w:rsidR="003B2D71">
        <w:t xml:space="preserve"> which may be important where decisions are made about someone based on their mental health status</w:t>
      </w:r>
    </w:p>
    <w:p w14:paraId="4B1C6249" w14:textId="603D1352" w:rsidR="004A0121" w:rsidRDefault="0016737B" w:rsidP="00E225B4">
      <w:pPr>
        <w:pStyle w:val="ListParagraph"/>
        <w:numPr>
          <w:ilvl w:val="0"/>
          <w:numId w:val="10"/>
        </w:numPr>
      </w:pPr>
      <w:r>
        <w:t>information obtained during court proceedings,</w:t>
      </w:r>
      <w:r w:rsidR="00F96BB6" w:rsidRPr="0091262D">
        <w:rPr>
          <w:rStyle w:val="FootnoteReference"/>
        </w:rPr>
        <w:footnoteReference w:id="84"/>
      </w:r>
      <w:r w:rsidR="00F96BB6">
        <w:t xml:space="preserve"> which is relevant to mental health consumers who have their personal information disclosed during treatment and Mental Health Tribunal hearings, with </w:t>
      </w:r>
      <w:r w:rsidR="00A14B4F">
        <w:t xml:space="preserve">some </w:t>
      </w:r>
      <w:r w:rsidR="00F96BB6">
        <w:t xml:space="preserve">information </w:t>
      </w:r>
      <w:r w:rsidR="00335454">
        <w:t>and evidence</w:t>
      </w:r>
      <w:r w:rsidR="00A14B4F">
        <w:t xml:space="preserve"> that is used in hearings</w:t>
      </w:r>
      <w:r w:rsidR="00335454">
        <w:t xml:space="preserve"> being criticised as misleading</w:t>
      </w:r>
      <w:r w:rsidR="00335454" w:rsidRPr="0091262D">
        <w:rPr>
          <w:rStyle w:val="FootnoteReference"/>
        </w:rPr>
        <w:footnoteReference w:id="85"/>
      </w:r>
    </w:p>
    <w:p w14:paraId="2CF4B60F" w14:textId="28E7D360" w:rsidR="007E0018" w:rsidRDefault="00D53E9D" w:rsidP="00E225B4">
      <w:pPr>
        <w:pStyle w:val="ListParagraph"/>
        <w:numPr>
          <w:ilvl w:val="0"/>
          <w:numId w:val="10"/>
        </w:numPr>
      </w:pPr>
      <w:r>
        <w:t>information obtained about a person’s private life as part of employment restrictions or assessments,</w:t>
      </w:r>
      <w:r w:rsidRPr="0091262D">
        <w:rPr>
          <w:rStyle w:val="FootnoteReference"/>
        </w:rPr>
        <w:footnoteReference w:id="86"/>
      </w:r>
      <w:r w:rsidR="007E0018">
        <w:t xml:space="preserve"> which may </w:t>
      </w:r>
      <w:r w:rsidR="00F463B5">
        <w:t xml:space="preserve">affect </w:t>
      </w:r>
      <w:r w:rsidR="007E0018">
        <w:t>consumer or carer workers who are asked to disclose information that is both unnecessary and not required to non-lived experience workers</w:t>
      </w:r>
    </w:p>
    <w:p w14:paraId="325924FA" w14:textId="66D75C07" w:rsidR="6D69D0D5" w:rsidRDefault="6D69D0D5" w:rsidP="00E225B4">
      <w:pPr>
        <w:pStyle w:val="ListParagraph"/>
        <w:numPr>
          <w:ilvl w:val="0"/>
          <w:numId w:val="10"/>
        </w:numPr>
        <w:rPr>
          <w:szCs w:val="24"/>
        </w:rPr>
      </w:pPr>
      <w:r w:rsidRPr="6D69D0D5">
        <w:rPr>
          <w:szCs w:val="24"/>
        </w:rPr>
        <w:t>asking someone to declare a specific mental health diagnosis as a condition of participation in consultations where a specific diagnosis is not relevant to the issues being discussed</w:t>
      </w:r>
    </w:p>
    <w:p w14:paraId="5BA9656D" w14:textId="781B4DBF" w:rsidR="007D72A1" w:rsidRDefault="00F463B5" w:rsidP="00E225B4">
      <w:pPr>
        <w:pStyle w:val="ListParagraph"/>
        <w:numPr>
          <w:ilvl w:val="0"/>
          <w:numId w:val="10"/>
        </w:numPr>
      </w:pPr>
      <w:r>
        <w:lastRenderedPageBreak/>
        <w:t>when service settings permit l</w:t>
      </w:r>
      <w:r w:rsidR="00D31A05">
        <w:t>imitations on correspondence</w:t>
      </w:r>
      <w:r w:rsidR="00C62240">
        <w:t xml:space="preserve"> in places of detention through the use of</w:t>
      </w:r>
      <w:r w:rsidR="00D31A05">
        <w:t xml:space="preserve"> blanket policies</w:t>
      </w:r>
      <w:r w:rsidR="00D31A05" w:rsidRPr="0091262D">
        <w:rPr>
          <w:rStyle w:val="FootnoteReference"/>
        </w:rPr>
        <w:footnoteReference w:id="87"/>
      </w:r>
    </w:p>
    <w:p w14:paraId="0B44119B" w14:textId="1CA355F7" w:rsidR="003734A7" w:rsidRDefault="00F463B5" w:rsidP="00E225B4">
      <w:pPr>
        <w:pStyle w:val="ListParagraph"/>
        <w:numPr>
          <w:ilvl w:val="0"/>
          <w:numId w:val="10"/>
        </w:numPr>
      </w:pPr>
      <w:r>
        <w:t>when laws and policies permit, regulate or fail to regulate t</w:t>
      </w:r>
      <w:r w:rsidR="000E35BB">
        <w:t>he use of surveillance technologies</w:t>
      </w:r>
      <w:r w:rsidR="00526DA0">
        <w:t xml:space="preserve"> and retention of personal information,</w:t>
      </w:r>
      <w:r w:rsidR="00526DA0" w:rsidRPr="0091262D">
        <w:rPr>
          <w:rStyle w:val="FootnoteReference"/>
        </w:rPr>
        <w:footnoteReference w:id="88"/>
      </w:r>
      <w:r w:rsidR="00FC2F20">
        <w:t xml:space="preserve"> noting that similar practices are emerging in Australia and globally</w:t>
      </w:r>
      <w:r w:rsidR="008F1A49">
        <w:t>.</w:t>
      </w:r>
      <w:r w:rsidR="008F1A49" w:rsidRPr="0091262D">
        <w:rPr>
          <w:rStyle w:val="FootnoteReference"/>
        </w:rPr>
        <w:footnoteReference w:id="89"/>
      </w:r>
    </w:p>
    <w:p w14:paraId="0BBE6037" w14:textId="77777777" w:rsidR="001D18BD" w:rsidRDefault="001D18BD" w:rsidP="001D18BD"/>
    <w:p w14:paraId="3FE8FD47" w14:textId="77777777" w:rsidR="005A2D65" w:rsidRDefault="005A2D65" w:rsidP="001D18BD">
      <w:pPr>
        <w:sectPr w:rsidR="005A2D65" w:rsidSect="00271E88">
          <w:pgSz w:w="11906" w:h="16838"/>
          <w:pgMar w:top="1440" w:right="1418" w:bottom="1440" w:left="1418" w:header="708" w:footer="708" w:gutter="0"/>
          <w:cols w:space="708"/>
          <w:titlePg/>
          <w:docGrid w:linePitch="360"/>
        </w:sectPr>
      </w:pPr>
    </w:p>
    <w:p w14:paraId="0C865719" w14:textId="2D4455BC" w:rsidR="00CF678B" w:rsidRDefault="00CF678B" w:rsidP="00CF678B">
      <w:pPr>
        <w:pStyle w:val="Heading1-report"/>
        <w:spacing w:before="0"/>
      </w:pPr>
      <w:r>
        <w:rPr>
          <w:noProof/>
        </w:rPr>
        <w:lastRenderedPageBreak/>
        <mc:AlternateContent>
          <mc:Choice Requires="wps">
            <w:drawing>
              <wp:anchor distT="0" distB="0" distL="114300" distR="114300" simplePos="0" relativeHeight="251658266" behindDoc="1" locked="0" layoutInCell="1" allowOverlap="1" wp14:anchorId="47902247" wp14:editId="74AE5E1C">
                <wp:simplePos x="0" y="0"/>
                <wp:positionH relativeFrom="page">
                  <wp:align>left</wp:align>
                </wp:positionH>
                <wp:positionV relativeFrom="paragraph">
                  <wp:posOffset>-901811</wp:posOffset>
                </wp:positionV>
                <wp:extent cx="10693593" cy="7947660"/>
                <wp:effectExtent l="0" t="0" r="12700" b="15240"/>
                <wp:wrapNone/>
                <wp:docPr id="229" name="Rectangle 229"/>
                <wp:cNvGraphicFramePr/>
                <a:graphic xmlns:a="http://schemas.openxmlformats.org/drawingml/2006/main">
                  <a:graphicData uri="http://schemas.microsoft.com/office/word/2010/wordprocessingShape">
                    <wps:wsp>
                      <wps:cNvSpPr/>
                      <wps:spPr>
                        <a:xfrm>
                          <a:off x="0" y="0"/>
                          <a:ext cx="10693593" cy="7947660"/>
                        </a:xfrm>
                        <a:prstGeom prst="rect">
                          <a:avLst/>
                        </a:prstGeom>
                        <a:solidFill>
                          <a:srgbClr val="D0E8E9"/>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B25CA0" w14:textId="77777777" w:rsidR="00CF678B" w:rsidRDefault="00CF678B" w:rsidP="00CF67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02247" id="Rectangle 229" o:spid="_x0000_s1038" style="position:absolute;margin-left:0;margin-top:-71pt;width:842pt;height:625.8pt;z-index:-25165821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" fillcolor="#d0e8e9" strokecolor="#1b383a [1604]" strokeweight="1pt">
                <v:textbox>
                  <w:txbxContent>
                    <w:p w14:paraId="6AB25CA0" w14:textId="77777777" w:rsidR="00CF678B" w:rsidRDefault="00CF678B" w:rsidP="00CF678B">
                      <w:pPr>
                        <w:jc w:val="center"/>
                      </w:pPr>
                    </w:p>
                  </w:txbxContent>
                </v:textbox>
                <w10:wrap anchorx="page"/>
              </v:rect>
            </w:pict>
          </mc:Fallback>
        </mc:AlternateContent>
      </w:r>
      <w:r>
        <w:t xml:space="preserve">TAKE-HOMES: </w:t>
      </w:r>
      <w:r w:rsidR="0026388E">
        <w:t>PRIVACY</w:t>
      </w:r>
    </w:p>
    <w:tbl>
      <w:tblPr>
        <w:tblStyle w:val="TableGridLight"/>
        <w:tblW w:w="15446" w:type="dxa"/>
        <w:tblCellMar>
          <w:bottom w:w="284" w:type="dxa"/>
        </w:tblCellMar>
        <w:tblLook w:val="04A0" w:firstRow="1" w:lastRow="0" w:firstColumn="1" w:lastColumn="0" w:noHBand="0" w:noVBand="1"/>
      </w:tblPr>
      <w:tblGrid>
        <w:gridCol w:w="1056"/>
        <w:gridCol w:w="6085"/>
        <w:gridCol w:w="1056"/>
        <w:gridCol w:w="7249"/>
      </w:tblGrid>
      <w:tr w:rsidR="007E418F" w14:paraId="2FE3B6AB" w14:textId="77777777" w:rsidTr="6D69D0D5">
        <w:tc>
          <w:tcPr>
            <w:tcW w:w="1056" w:type="dxa"/>
          </w:tcPr>
          <w:p w14:paraId="18C80398" w14:textId="77777777" w:rsidR="007E418F" w:rsidRDefault="007E418F" w:rsidP="007E418F">
            <w:r>
              <w:rPr>
                <w:noProof/>
              </w:rPr>
              <w:drawing>
                <wp:inline distT="0" distB="0" distL="0" distR="0" wp14:anchorId="655540F9" wp14:editId="12AA7098">
                  <wp:extent cx="526774" cy="526774"/>
                  <wp:effectExtent l="0" t="0" r="6985" b="6985"/>
                  <wp:docPr id="230" name="Graphic 230"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6085" w:type="dxa"/>
          </w:tcPr>
          <w:p w14:paraId="4C3EA9D2" w14:textId="46766236" w:rsidR="007E418F" w:rsidRDefault="007E418F" w:rsidP="007E418F">
            <w:pPr>
              <w:pStyle w:val="Heading3-report"/>
            </w:pPr>
            <w:r>
              <w:t>Guard against inappropriate surveillance</w:t>
            </w:r>
          </w:p>
          <w:p w14:paraId="1B05C1B2" w14:textId="2ED3C2AC" w:rsidR="007E418F" w:rsidRPr="007A1180" w:rsidRDefault="007E418F" w:rsidP="007E418F">
            <w:r>
              <w:t>Surveillance technologies are increasing as a response to mental distress and to manage the risk of suicide in mental health inpatient units.</w:t>
            </w:r>
            <w:r w:rsidRPr="0091262D">
              <w:rPr>
                <w:rStyle w:val="FootnoteReference"/>
              </w:rPr>
              <w:footnoteReference w:id="90"/>
            </w:r>
            <w:r>
              <w:t xml:space="preserve"> The use of these technologies represent a significant limitation on the right to privacy. There may be the need for Charter-informed and co-designed standards for mental health services to adhere to.</w:t>
            </w:r>
          </w:p>
        </w:tc>
        <w:tc>
          <w:tcPr>
            <w:tcW w:w="1056" w:type="dxa"/>
          </w:tcPr>
          <w:p w14:paraId="46E48C6D" w14:textId="7C207B7B" w:rsidR="007E418F" w:rsidRDefault="007E418F" w:rsidP="007E418F">
            <w:r>
              <w:rPr>
                <w:noProof/>
              </w:rPr>
              <w:drawing>
                <wp:inline distT="0" distB="0" distL="0" distR="0" wp14:anchorId="052E26F5" wp14:editId="56994691">
                  <wp:extent cx="526774" cy="526774"/>
                  <wp:effectExtent l="0" t="0" r="6985" b="6985"/>
                  <wp:docPr id="2112150131" name="Graphic 2112150131"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7249" w:type="dxa"/>
          </w:tcPr>
          <w:p w14:paraId="794F77E4" w14:textId="77777777" w:rsidR="007E418F" w:rsidRDefault="007E418F" w:rsidP="007E418F">
            <w:pPr>
              <w:pStyle w:val="Heading3-report"/>
            </w:pPr>
            <w:r>
              <w:t xml:space="preserve">Make clear policies on pets </w:t>
            </w:r>
          </w:p>
          <w:p w14:paraId="2196C3D6" w14:textId="02B11CD5" w:rsidR="007E418F" w:rsidRPr="00861362" w:rsidRDefault="00643FF4" w:rsidP="008E6A12">
            <w:r>
              <w:t xml:space="preserve">The Department may provide guidance </w:t>
            </w:r>
            <w:r w:rsidR="00DE3D92">
              <w:t xml:space="preserve">to mental health services on how they can support people to keep autonomy over their private affairs when they are in an inpatient unit. For example, policies may be designed to provide guidance to services </w:t>
            </w:r>
            <w:r w:rsidR="008E6A12">
              <w:t>on strategies to assist people to ensure care for their pets during an admission.</w:t>
            </w:r>
            <w:r w:rsidR="007E418F" w:rsidRPr="0091262D">
              <w:rPr>
                <w:rStyle w:val="FootnoteReference"/>
              </w:rPr>
              <w:footnoteReference w:id="91"/>
            </w:r>
          </w:p>
        </w:tc>
      </w:tr>
      <w:tr w:rsidR="007E418F" w14:paraId="48AFC03D" w14:textId="77777777" w:rsidTr="6D69D0D5">
        <w:tc>
          <w:tcPr>
            <w:tcW w:w="1056" w:type="dxa"/>
            <w:shd w:val="clear" w:color="auto" w:fill="auto"/>
          </w:tcPr>
          <w:p w14:paraId="4DE3945D" w14:textId="77777777" w:rsidR="007E418F" w:rsidRDefault="007E418F" w:rsidP="007E418F">
            <w:r>
              <w:rPr>
                <w:noProof/>
              </w:rPr>
              <w:drawing>
                <wp:inline distT="0" distB="0" distL="0" distR="0" wp14:anchorId="183B001F" wp14:editId="2A8055BE">
                  <wp:extent cx="526774" cy="526774"/>
                  <wp:effectExtent l="0" t="0" r="6985" b="6985"/>
                  <wp:docPr id="232" name="Graphic 232"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6085" w:type="dxa"/>
          </w:tcPr>
          <w:p w14:paraId="2EBF9040" w14:textId="3AB50F80" w:rsidR="007E418F" w:rsidRDefault="007E418F" w:rsidP="007E418F">
            <w:pPr>
              <w:pStyle w:val="Heading3-report"/>
            </w:pPr>
            <w:r>
              <w:t>Develop standards for the implementation of information communication technologies</w:t>
            </w:r>
          </w:p>
          <w:p w14:paraId="060DA046" w14:textId="230441D0" w:rsidR="007E418F" w:rsidRPr="008274CA" w:rsidRDefault="007E418F" w:rsidP="007E418F">
            <w:r>
              <w:t>Guidance on the use of ICT in mental health facilities may be needed. This may include when, if ever, ICT devices can be removed from someone. It should also determine the person’s rights regarding whether a treatment team wants to access the phone.</w:t>
            </w:r>
          </w:p>
        </w:tc>
        <w:tc>
          <w:tcPr>
            <w:tcW w:w="1056" w:type="dxa"/>
          </w:tcPr>
          <w:p w14:paraId="53CA59AC" w14:textId="0ABB9CE4" w:rsidR="007E418F" w:rsidRDefault="007E418F" w:rsidP="007E418F">
            <w:r>
              <w:rPr>
                <w:noProof/>
              </w:rPr>
              <w:drawing>
                <wp:inline distT="0" distB="0" distL="0" distR="0" wp14:anchorId="5A7E8150" wp14:editId="4233B387">
                  <wp:extent cx="530705" cy="530705"/>
                  <wp:effectExtent l="0" t="0" r="3175" b="3175"/>
                  <wp:docPr id="1573010877" name="Graphic 1573010877" descr="Badge Cro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Badge Cross with solid fill"/>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30705" cy="530705"/>
                          </a:xfrm>
                          <a:prstGeom prst="rect">
                            <a:avLst/>
                          </a:prstGeom>
                        </pic:spPr>
                      </pic:pic>
                    </a:graphicData>
                  </a:graphic>
                </wp:inline>
              </w:drawing>
            </w:r>
          </w:p>
        </w:tc>
        <w:tc>
          <w:tcPr>
            <w:tcW w:w="7249" w:type="dxa"/>
          </w:tcPr>
          <w:p w14:paraId="547B173C" w14:textId="77777777" w:rsidR="007E418F" w:rsidRDefault="007E418F" w:rsidP="007E418F">
            <w:pPr>
              <w:pStyle w:val="Heading3-report"/>
            </w:pPr>
            <w:r>
              <w:t>Don’t leave information dilemmas to services</w:t>
            </w:r>
          </w:p>
          <w:p w14:paraId="14DEF6D3" w14:textId="113746CB" w:rsidR="007E418F" w:rsidRPr="00796694" w:rsidRDefault="007E418F" w:rsidP="007E418F">
            <w:r>
              <w:t>There remain ongoing challenges about when, how and with whom mental health clinicians can share information. Clear guidance and training may be needed to assist mental health services to develop local policies and training. Devolving this to services in the absence of training and guidance risks unequal protection of this right across and within mental health services.</w:t>
            </w:r>
          </w:p>
        </w:tc>
      </w:tr>
    </w:tbl>
    <w:p w14:paraId="68495DDD" w14:textId="77777777" w:rsidR="005A2D65" w:rsidRDefault="005A2D65" w:rsidP="001D18BD">
      <w:pPr>
        <w:sectPr w:rsidR="005A2D65" w:rsidSect="005A2D65">
          <w:pgSz w:w="16838" w:h="11906" w:orient="landscape"/>
          <w:pgMar w:top="720" w:right="720" w:bottom="720" w:left="720" w:header="708" w:footer="708" w:gutter="0"/>
          <w:cols w:space="708"/>
          <w:titlePg/>
          <w:docGrid w:linePitch="360"/>
        </w:sectPr>
      </w:pPr>
    </w:p>
    <w:p w14:paraId="1ACD3FA5" w14:textId="46AA5202" w:rsidR="00A9204B" w:rsidRDefault="00A0641E" w:rsidP="007A4E66">
      <w:pPr>
        <w:pStyle w:val="Heading1-report"/>
        <w:spacing w:before="0"/>
        <w:ind w:left="1440"/>
      </w:pPr>
      <w:r>
        <w:rPr>
          <w:noProof/>
        </w:rPr>
        <w:lastRenderedPageBreak/>
        <w:drawing>
          <wp:anchor distT="0" distB="0" distL="114300" distR="114300" simplePos="0" relativeHeight="251658265" behindDoc="0" locked="0" layoutInCell="1" allowOverlap="1" wp14:anchorId="67BF2512" wp14:editId="152B9A6E">
            <wp:simplePos x="0" y="0"/>
            <wp:positionH relativeFrom="margin">
              <wp:align>left</wp:align>
            </wp:positionH>
            <wp:positionV relativeFrom="paragraph">
              <wp:posOffset>3810</wp:posOffset>
            </wp:positionV>
            <wp:extent cx="674915" cy="674915"/>
            <wp:effectExtent l="0" t="0" r="0" b="0"/>
            <wp:wrapNone/>
            <wp:docPr id="208" name="Picture 208" descr="Hands hovering above someone's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Hands hovering above someone's hea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74915" cy="674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04B">
        <w:t>Freedom of thought, conscience, religion and belief (section 14)</w:t>
      </w:r>
    </w:p>
    <w:p w14:paraId="0BE74EB5" w14:textId="601C8953" w:rsidR="00A0641E" w:rsidRDefault="00BD1C0F" w:rsidP="00BD1C0F">
      <w:r>
        <w:rPr>
          <w:noProof/>
        </w:rPr>
        <mc:AlternateContent>
          <mc:Choice Requires="wps">
            <w:drawing>
              <wp:anchor distT="45720" distB="45720" distL="114300" distR="114300" simplePos="0" relativeHeight="251658294" behindDoc="0" locked="0" layoutInCell="1" allowOverlap="1" wp14:anchorId="23AD47B6" wp14:editId="703564E8">
                <wp:simplePos x="0" y="0"/>
                <wp:positionH relativeFrom="margin">
                  <wp:align>right</wp:align>
                </wp:positionH>
                <wp:positionV relativeFrom="paragraph">
                  <wp:posOffset>488950</wp:posOffset>
                </wp:positionV>
                <wp:extent cx="5744845" cy="1404620"/>
                <wp:effectExtent l="0" t="0" r="27305" b="13970"/>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1404620"/>
                        </a:xfrm>
                        <a:prstGeom prst="rect">
                          <a:avLst/>
                        </a:prstGeom>
                        <a:solidFill>
                          <a:srgbClr val="201547"/>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20A72563" w14:textId="77777777" w:rsidR="00BD1C0F" w:rsidRPr="005E110D" w:rsidRDefault="00BD1C0F" w:rsidP="00BD1C0F">
                            <w:pPr>
                              <w:pStyle w:val="Heading3-report"/>
                              <w:rPr>
                                <w:color w:val="FFFFFF" w:themeColor="background1"/>
                              </w:rPr>
                            </w:pPr>
                            <w:r w:rsidRPr="005E110D">
                              <w:rPr>
                                <w:color w:val="FFFFFF" w:themeColor="background1"/>
                              </w:rPr>
                              <w:t>Section 14 Freedom of thought, conscience, religion and belief</w:t>
                            </w:r>
                          </w:p>
                          <w:p w14:paraId="475210B2" w14:textId="77777777" w:rsidR="00BD1C0F" w:rsidRPr="005E110D" w:rsidRDefault="00BD1C0F" w:rsidP="00E225B4">
                            <w:pPr>
                              <w:pStyle w:val="ListParagraph"/>
                              <w:numPr>
                                <w:ilvl w:val="0"/>
                                <w:numId w:val="13"/>
                              </w:numPr>
                              <w:rPr>
                                <w:color w:val="FFFFFF" w:themeColor="background1"/>
                              </w:rPr>
                            </w:pPr>
                            <w:r w:rsidRPr="005E110D">
                              <w:rPr>
                                <w:color w:val="FFFFFF" w:themeColor="background1"/>
                              </w:rPr>
                              <w:t xml:space="preserve">Every person has the right to freedom of thought, conscience, religion and belief, including </w:t>
                            </w:r>
                            <w:r w:rsidRPr="005E110D">
                              <w:rPr>
                                <w:color w:val="FFFFFF" w:themeColor="background1"/>
                              </w:rPr>
                              <w:softHyphen/>
                              <w:t>—</w:t>
                            </w:r>
                          </w:p>
                          <w:p w14:paraId="32574C50" w14:textId="77777777" w:rsidR="00BD1C0F" w:rsidRPr="005E110D" w:rsidRDefault="00BD1C0F" w:rsidP="00E225B4">
                            <w:pPr>
                              <w:pStyle w:val="ListParagraph"/>
                              <w:numPr>
                                <w:ilvl w:val="0"/>
                                <w:numId w:val="14"/>
                              </w:numPr>
                              <w:rPr>
                                <w:color w:val="FFFFFF" w:themeColor="background1"/>
                              </w:rPr>
                            </w:pPr>
                            <w:r w:rsidRPr="005E110D">
                              <w:rPr>
                                <w:color w:val="FFFFFF" w:themeColor="background1"/>
                              </w:rPr>
                              <w:t>the freedom to have or adopt a religion or belief of that person’s choice; and</w:t>
                            </w:r>
                          </w:p>
                          <w:p w14:paraId="6A8995A5" w14:textId="77777777" w:rsidR="005E110D" w:rsidRPr="005E110D" w:rsidRDefault="00BD1C0F" w:rsidP="00E225B4">
                            <w:pPr>
                              <w:pStyle w:val="ListParagraph"/>
                              <w:numPr>
                                <w:ilvl w:val="0"/>
                                <w:numId w:val="14"/>
                              </w:numPr>
                              <w:rPr>
                                <w:color w:val="FFFFFF" w:themeColor="background1"/>
                              </w:rPr>
                            </w:pPr>
                            <w:r w:rsidRPr="005E110D">
                              <w:rPr>
                                <w:color w:val="FFFFFF" w:themeColor="background1"/>
                              </w:rPr>
                              <w:t>the freedom to demonstrate that person’s religion or belief in worship, observance, practice and teaching, either individually or as part of a community, in public or in private.</w:t>
                            </w:r>
                          </w:p>
                          <w:p w14:paraId="6D440406" w14:textId="282163B5" w:rsidR="00BD1C0F" w:rsidRDefault="00BD1C0F" w:rsidP="00E225B4">
                            <w:pPr>
                              <w:pStyle w:val="ListParagraph"/>
                              <w:numPr>
                                <w:ilvl w:val="0"/>
                                <w:numId w:val="13"/>
                              </w:numPr>
                            </w:pPr>
                            <w:r w:rsidRPr="005E110D">
                              <w:rPr>
                                <w:color w:val="FFFFFF" w:themeColor="background1"/>
                              </w:rPr>
                              <w:t xml:space="preserve">A person must not be coerced or restrained in a way that limits his or her freedom to have or adopt a religion </w:t>
                            </w:r>
                            <w:r>
                              <w:t>or belief in worship, observance, practice, or teaching.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AD47B6" id="Text Box 247" o:spid="_x0000_s1039" type="#_x0000_t202" style="position:absolute;margin-left:401.15pt;margin-top:38.5pt;width:452.35pt;height:110.6pt;z-index:25165829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" fillcolor="#201547" strokecolor="#1b383a [1604]" strokeweight="1pt">
                <v:textbox style="mso-fit-shape-to-text:t">
                  <w:txbxContent>
                    <w:p w14:paraId="20A72563" w14:textId="77777777" w:rsidR="00BD1C0F" w:rsidRPr="005E110D" w:rsidRDefault="00BD1C0F" w:rsidP="00BD1C0F">
                      <w:pPr>
                        <w:pStyle w:val="Heading3-report"/>
                        <w:rPr>
                          <w:color w:val="FFFFFF" w:themeColor="background1"/>
                        </w:rPr>
                      </w:pPr>
                      <w:r w:rsidRPr="005E110D">
                        <w:rPr>
                          <w:color w:val="FFFFFF" w:themeColor="background1"/>
                        </w:rPr>
                        <w:t>Section 14 Freedom of thought, conscience, religion and belief</w:t>
                      </w:r>
                    </w:p>
                    <w:p w14:paraId="475210B2" w14:textId="77777777" w:rsidR="00BD1C0F" w:rsidRPr="005E110D" w:rsidRDefault="00BD1C0F" w:rsidP="00E225B4">
                      <w:pPr>
                        <w:pStyle w:val="ListParagraph"/>
                        <w:numPr>
                          <w:ilvl w:val="0"/>
                          <w:numId w:val="13"/>
                        </w:numPr>
                        <w:rPr>
                          <w:color w:val="FFFFFF" w:themeColor="background1"/>
                        </w:rPr>
                      </w:pPr>
                      <w:r w:rsidRPr="005E110D">
                        <w:rPr>
                          <w:color w:val="FFFFFF" w:themeColor="background1"/>
                        </w:rPr>
                        <w:t xml:space="preserve">Every person has the right to freedom of thought, conscience, religion and belief, including </w:t>
                      </w:r>
                      <w:r w:rsidRPr="005E110D">
                        <w:rPr>
                          <w:color w:val="FFFFFF" w:themeColor="background1"/>
                        </w:rPr>
                        <w:softHyphen/>
                        <w:t>—</w:t>
                      </w:r>
                    </w:p>
                    <w:p w14:paraId="32574C50" w14:textId="77777777" w:rsidR="00BD1C0F" w:rsidRPr="005E110D" w:rsidRDefault="00BD1C0F" w:rsidP="00E225B4">
                      <w:pPr>
                        <w:pStyle w:val="ListParagraph"/>
                        <w:numPr>
                          <w:ilvl w:val="0"/>
                          <w:numId w:val="14"/>
                        </w:numPr>
                        <w:rPr>
                          <w:color w:val="FFFFFF" w:themeColor="background1"/>
                        </w:rPr>
                      </w:pPr>
                      <w:r w:rsidRPr="005E110D">
                        <w:rPr>
                          <w:color w:val="FFFFFF" w:themeColor="background1"/>
                        </w:rPr>
                        <w:t>the freedom to have or adopt a religion or belief of that person’s choice; and</w:t>
                      </w:r>
                    </w:p>
                    <w:p w14:paraId="6A8995A5" w14:textId="77777777" w:rsidR="005E110D" w:rsidRPr="005E110D" w:rsidRDefault="00BD1C0F" w:rsidP="00E225B4">
                      <w:pPr>
                        <w:pStyle w:val="ListParagraph"/>
                        <w:numPr>
                          <w:ilvl w:val="0"/>
                          <w:numId w:val="14"/>
                        </w:numPr>
                        <w:rPr>
                          <w:color w:val="FFFFFF" w:themeColor="background1"/>
                        </w:rPr>
                      </w:pPr>
                      <w:r w:rsidRPr="005E110D">
                        <w:rPr>
                          <w:color w:val="FFFFFF" w:themeColor="background1"/>
                        </w:rPr>
                        <w:t>the freedom to demonstrate that person’s religion or belief in worship, observance, practice and teaching, either individually or as part of a community, in public or in private.</w:t>
                      </w:r>
                    </w:p>
                    <w:p w14:paraId="6D440406" w14:textId="282163B5" w:rsidR="00BD1C0F" w:rsidRDefault="00BD1C0F" w:rsidP="00E225B4">
                      <w:pPr>
                        <w:pStyle w:val="ListParagraph"/>
                        <w:numPr>
                          <w:ilvl w:val="0"/>
                          <w:numId w:val="13"/>
                        </w:numPr>
                      </w:pPr>
                      <w:r w:rsidRPr="005E110D">
                        <w:rPr>
                          <w:color w:val="FFFFFF" w:themeColor="background1"/>
                        </w:rPr>
                        <w:t xml:space="preserve">A person must not be coerced or restrained in a way that limits his or her freedom to have or adopt a religion </w:t>
                      </w:r>
                      <w:r>
                        <w:t>or belief in worship, observance, practice, or teaching.</w:t>
                      </w:r>
                    </w:p>
                  </w:txbxContent>
                </v:textbox>
                <w10:wrap type="square" anchorx="margin"/>
              </v:shape>
            </w:pict>
          </mc:Fallback>
        </mc:AlternateContent>
      </w:r>
    </w:p>
    <w:p w14:paraId="417952C3" w14:textId="027E5AFE" w:rsidR="00CA1215" w:rsidRPr="005E110D" w:rsidRDefault="006449CB" w:rsidP="006619C1">
      <w:pPr>
        <w:pStyle w:val="BoldedRightsIntro"/>
      </w:pPr>
      <w:r w:rsidRPr="005E110D">
        <w:t xml:space="preserve">The ability to hold and share one’s beliefs, to the extent that it does not </w:t>
      </w:r>
      <w:r w:rsidR="00EE0DD0" w:rsidRPr="005E110D">
        <w:t xml:space="preserve">affect </w:t>
      </w:r>
      <w:r w:rsidRPr="005E110D">
        <w:t>other</w:t>
      </w:r>
      <w:r w:rsidR="00EE0DD0" w:rsidRPr="005E110D">
        <w:t xml:space="preserve"> people’s</w:t>
      </w:r>
      <w:r w:rsidRPr="005E110D">
        <w:t xml:space="preserve"> </w:t>
      </w:r>
      <w:r w:rsidR="00C45EB6" w:rsidRPr="005E110D">
        <w:t xml:space="preserve">enjoyment of human rights, have been a </w:t>
      </w:r>
      <w:r w:rsidR="00866B1B" w:rsidRPr="005E110D">
        <w:t xml:space="preserve">central </w:t>
      </w:r>
      <w:r w:rsidR="00C45EB6" w:rsidRPr="005E110D">
        <w:t>feature of human rights. However, these rights are often ignored when considering individuals</w:t>
      </w:r>
      <w:r w:rsidR="00761449" w:rsidRPr="005E110D">
        <w:t xml:space="preserve"> </w:t>
      </w:r>
      <w:r w:rsidR="00A24014" w:rsidRPr="005E110D">
        <w:t xml:space="preserve">who are </w:t>
      </w:r>
      <w:r w:rsidR="00761449" w:rsidRPr="005E110D">
        <w:t>subject to compulsory mental health treatment.</w:t>
      </w:r>
      <w:r w:rsidR="00761449" w:rsidRPr="0091262D">
        <w:rPr>
          <w:rStyle w:val="FootnoteReference"/>
        </w:rPr>
        <w:footnoteReference w:id="92"/>
      </w:r>
      <w:r w:rsidR="001D171B" w:rsidRPr="005E110D">
        <w:t xml:space="preserve"> A person may be compulsorily detained on the basis that they </w:t>
      </w:r>
      <w:r w:rsidR="00781742" w:rsidRPr="005E110D">
        <w:t>are diagnosed as experiencing unusual beliefs, often termed ‘delusions’,</w:t>
      </w:r>
      <w:r w:rsidR="00A85E8F" w:rsidRPr="0091262D">
        <w:rPr>
          <w:rStyle w:val="FootnoteReference"/>
        </w:rPr>
        <w:footnoteReference w:id="93"/>
      </w:r>
      <w:r w:rsidR="00781742" w:rsidRPr="005E110D">
        <w:t xml:space="preserve"> </w:t>
      </w:r>
      <w:r w:rsidR="0051204E" w:rsidRPr="005E110D">
        <w:t xml:space="preserve">and because of those beliefs they present a serious risk to self and others.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BF1F57" w14:paraId="3B606369" w14:textId="77777777" w:rsidTr="6D69D0D5">
        <w:tc>
          <w:tcPr>
            <w:tcW w:w="9060" w:type="dxa"/>
            <w:tcBorders>
              <w:top w:val="thickThinSmallGap" w:sz="24" w:space="0" w:color="201547"/>
              <w:bottom w:val="thickThinSmallGap" w:sz="24" w:space="0" w:color="201547"/>
            </w:tcBorders>
            <w:shd w:val="clear" w:color="auto" w:fill="F2F2F2" w:themeFill="background1" w:themeFillShade="F2"/>
          </w:tcPr>
          <w:p w14:paraId="6FECD098" w14:textId="3522BF3A" w:rsidR="00BF1F57" w:rsidRDefault="00EB339C" w:rsidP="00C436B8">
            <w:pPr>
              <w:rPr>
                <w:b/>
                <w:bCs/>
              </w:rPr>
            </w:pPr>
            <w:r>
              <w:rPr>
                <w:b/>
                <w:bCs/>
              </w:rPr>
              <w:t>‘Delusions’ and ‘hallucinations’: w</w:t>
            </w:r>
            <w:r w:rsidR="008C4A9E">
              <w:rPr>
                <w:b/>
                <w:bCs/>
              </w:rPr>
              <w:t>ords that can (unintentionally) hurt</w:t>
            </w:r>
          </w:p>
          <w:p w14:paraId="11BA83D6" w14:textId="119EE4B4" w:rsidR="008C4A9E" w:rsidRPr="008C4A9E" w:rsidRDefault="008C4A9E" w:rsidP="00B144E2">
            <w:pPr>
              <w:spacing w:before="0" w:after="160" w:line="259" w:lineRule="auto"/>
            </w:pPr>
            <w:r>
              <w:t>Language around mental health</w:t>
            </w:r>
            <w:r w:rsidR="007D2029">
              <w:t xml:space="preserve"> and wellbeing is contested (including the terms </w:t>
            </w:r>
            <w:r w:rsidR="00084BE5">
              <w:t>‘</w:t>
            </w:r>
            <w:r w:rsidR="007D2029">
              <w:t>mental health</w:t>
            </w:r>
            <w:r w:rsidR="00084BE5">
              <w:t>’</w:t>
            </w:r>
            <w:r w:rsidR="007D2029">
              <w:t xml:space="preserve">). Terms like </w:t>
            </w:r>
            <w:r w:rsidR="00E913DE">
              <w:t>‘</w:t>
            </w:r>
            <w:r w:rsidR="007D2029">
              <w:t>delusion</w:t>
            </w:r>
            <w:r w:rsidR="00E913DE">
              <w:t>’</w:t>
            </w:r>
            <w:r w:rsidR="007D2029">
              <w:t xml:space="preserve"> and </w:t>
            </w:r>
            <w:r w:rsidR="00E913DE">
              <w:t>‘</w:t>
            </w:r>
            <w:r w:rsidR="007D2029">
              <w:t>hallucination</w:t>
            </w:r>
            <w:r w:rsidR="00E913DE">
              <w:t>’</w:t>
            </w:r>
            <w:r w:rsidR="007D2029">
              <w:t xml:space="preserve"> are common in clinical and psychiatric literature. </w:t>
            </w:r>
            <w:r w:rsidR="000217A5">
              <w:t xml:space="preserve">For some, these terms are useful in describing their experiences. </w:t>
            </w:r>
            <w:r w:rsidR="00AA6C5E">
              <w:t>However,</w:t>
            </w:r>
            <w:r w:rsidR="003C05F0">
              <w:t xml:space="preserve"> for others, these terms are jarring and do not create space for different ways to understand and respond to their experiences.</w:t>
            </w:r>
            <w:r w:rsidR="00AA6C5E" w:rsidRPr="0091262D">
              <w:rPr>
                <w:rStyle w:val="FootnoteReference"/>
              </w:rPr>
              <w:footnoteReference w:id="94"/>
            </w:r>
            <w:r w:rsidR="00AA6C5E">
              <w:t xml:space="preserve"> These terms </w:t>
            </w:r>
            <w:r w:rsidR="002655F9">
              <w:t xml:space="preserve">are more contested </w:t>
            </w:r>
            <w:r w:rsidR="00366784">
              <w:t xml:space="preserve">amongst individuals who have had to use the public system, as </w:t>
            </w:r>
            <w:r w:rsidR="00B144E2">
              <w:t>assessments of being ‘delusional’ or experiencing ‘hallucinations’ has often attracted forced treatment.</w:t>
            </w:r>
            <w:r w:rsidR="00B144E2" w:rsidRPr="0091262D">
              <w:rPr>
                <w:rStyle w:val="FootnoteReference"/>
              </w:rPr>
              <w:footnoteReference w:id="95"/>
            </w:r>
            <w:r w:rsidR="00B144E2">
              <w:t xml:space="preserve"> This is a reminder to be careful and conscious in the use of these terms.</w:t>
            </w:r>
            <w:r w:rsidR="009C64A3">
              <w:t xml:space="preserve"> Wherever possible, try to best reflect the language preferences of the people you are talking about.</w:t>
            </w:r>
          </w:p>
        </w:tc>
      </w:tr>
    </w:tbl>
    <w:p w14:paraId="0BB892E7" w14:textId="77777777" w:rsidR="00830EFD" w:rsidRDefault="00830EFD" w:rsidP="00C436B8"/>
    <w:p w14:paraId="222C9202" w14:textId="0E8CF5ED" w:rsidR="00996E64" w:rsidRDefault="00A86EE3" w:rsidP="009E479D">
      <w:pPr>
        <w:pStyle w:val="Heading2-report"/>
      </w:pPr>
      <w:r>
        <w:t>What different terms mean under this right</w:t>
      </w:r>
    </w:p>
    <w:p w14:paraId="45716840" w14:textId="7CA36ECD" w:rsidR="00996E64" w:rsidRDefault="00996E64" w:rsidP="00996E64">
      <w:r>
        <w:t xml:space="preserve">Many of the terms in this right have specific meaning. Though you don’t need to know this in </w:t>
      </w:r>
      <w:r w:rsidR="009A23D7">
        <w:t>detail</w:t>
      </w:r>
      <w:r>
        <w:t>, some terms to know are:</w:t>
      </w:r>
    </w:p>
    <w:p w14:paraId="66191144" w14:textId="64FD6E60" w:rsidR="00996E64" w:rsidRDefault="6D69D0D5" w:rsidP="00E225B4">
      <w:pPr>
        <w:pStyle w:val="ListParagraph"/>
        <w:numPr>
          <w:ilvl w:val="0"/>
          <w:numId w:val="43"/>
        </w:numPr>
      </w:pPr>
      <w:r>
        <w:t>‘Religion’ is defined as being, first, a belief in a supernatural being, thing or principle, and second, accepted conduct or rules that comport with those beliefs</w:t>
      </w:r>
      <w:r w:rsidR="00680559" w:rsidRPr="0091262D">
        <w:rPr>
          <w:rStyle w:val="FootnoteReference"/>
        </w:rPr>
        <w:footnoteReference w:id="96"/>
      </w:r>
    </w:p>
    <w:p w14:paraId="5A3EB94C" w14:textId="076BA6B9" w:rsidR="00C86490" w:rsidRDefault="6D69D0D5" w:rsidP="00E225B4">
      <w:pPr>
        <w:pStyle w:val="ListParagraph"/>
        <w:numPr>
          <w:ilvl w:val="0"/>
          <w:numId w:val="43"/>
        </w:numPr>
      </w:pPr>
      <w:r>
        <w:t>‘Belief’ is broader and can include academic and other beliefs that are seriously or genuinely held</w:t>
      </w:r>
      <w:r w:rsidR="002C4F56" w:rsidRPr="0091262D">
        <w:rPr>
          <w:rStyle w:val="FootnoteReference"/>
        </w:rPr>
        <w:footnoteReference w:id="97"/>
      </w:r>
    </w:p>
    <w:p w14:paraId="09C7CB49" w14:textId="35CA5BF4" w:rsidR="00B25E91" w:rsidRDefault="6D69D0D5" w:rsidP="00E225B4">
      <w:pPr>
        <w:pStyle w:val="ListParagraph"/>
        <w:numPr>
          <w:ilvl w:val="0"/>
          <w:numId w:val="43"/>
        </w:numPr>
      </w:pPr>
      <w:r>
        <w:t xml:space="preserve">‘Holding’ a belief or religion is </w:t>
      </w:r>
      <w:r w:rsidRPr="00A64E14">
        <w:rPr>
          <w:i/>
          <w:iCs/>
        </w:rPr>
        <w:t>internal</w:t>
      </w:r>
      <w:r>
        <w:t>, and under international law shouldn’t be limited in any form</w:t>
      </w:r>
      <w:r w:rsidR="00C27FA1" w:rsidRPr="0091262D">
        <w:rPr>
          <w:rStyle w:val="FootnoteReference"/>
        </w:rPr>
        <w:footnoteReference w:id="98"/>
      </w:r>
      <w:r w:rsidR="00323C19">
        <w:t xml:space="preserve"> </w:t>
      </w:r>
    </w:p>
    <w:p w14:paraId="77EB9923" w14:textId="2A0D698D" w:rsidR="00A678CD" w:rsidRPr="004B2D87" w:rsidRDefault="6D69D0D5" w:rsidP="00E225B4">
      <w:pPr>
        <w:pStyle w:val="ListParagraph"/>
        <w:numPr>
          <w:ilvl w:val="0"/>
          <w:numId w:val="43"/>
        </w:numPr>
      </w:pPr>
      <w:r>
        <w:t xml:space="preserve">‘Demonstrating’ a belief is more </w:t>
      </w:r>
      <w:r w:rsidRPr="6D69D0D5">
        <w:rPr>
          <w:i/>
          <w:iCs/>
        </w:rPr>
        <w:t>external</w:t>
      </w:r>
      <w:r>
        <w:t xml:space="preserve"> than holding a belief, and therefore can be limited in some circumstances to account for competing rights and needs.</w:t>
      </w:r>
      <w:r w:rsidR="009B4767" w:rsidRPr="0091262D">
        <w:rPr>
          <w:rStyle w:val="FootnoteReference"/>
        </w:rPr>
        <w:footnoteReference w:id="99"/>
      </w:r>
    </w:p>
    <w:p w14:paraId="318E8546" w14:textId="08F3FD85" w:rsidR="00AD4291" w:rsidRDefault="007121BB" w:rsidP="009E479D">
      <w:pPr>
        <w:pStyle w:val="Heading2-report"/>
      </w:pPr>
      <w:r>
        <w:t>When could this arise in your work?</w:t>
      </w:r>
    </w:p>
    <w:p w14:paraId="2323F3BC" w14:textId="77777777" w:rsidR="00F87E87" w:rsidRDefault="00D7375B" w:rsidP="006A284F">
      <w:r>
        <w:t>These rights have been regularly enga</w:t>
      </w:r>
      <w:r w:rsidR="006849DA">
        <w:t xml:space="preserve">ged in Victoria and elsewhere. </w:t>
      </w:r>
    </w:p>
    <w:p w14:paraId="7D27F8C6" w14:textId="4395BC06" w:rsidR="00F87E87" w:rsidRDefault="00F87E87" w:rsidP="00746203">
      <w:pPr>
        <w:pStyle w:val="Heading4"/>
      </w:pPr>
      <w:r>
        <w:t>Where someone holds genuine beliefs about non-pharmacological interventions</w:t>
      </w:r>
    </w:p>
    <w:p w14:paraId="255FCD2F" w14:textId="61092BC2" w:rsidR="00F87E87" w:rsidRDefault="6D69D0D5" w:rsidP="006A284F">
      <w:r>
        <w:t>Consumers may hold views about the efficacy of pharmacological interventions in assisting them, based on evidence and on their personal lived experience. Decisions that override the ability to hold that belief by requiring the use of these interventions may limit this right</w:t>
      </w:r>
      <w:r w:rsidR="004F5E29">
        <w:t>.</w:t>
      </w:r>
      <w:r w:rsidR="004F5E29" w:rsidRPr="0091262D">
        <w:rPr>
          <w:rStyle w:val="FootnoteReference"/>
        </w:rPr>
        <w:footnoteReference w:id="100"/>
      </w:r>
      <w:r w:rsidR="00FF3DED">
        <w:t xml:space="preserve"> </w:t>
      </w:r>
    </w:p>
    <w:p w14:paraId="5D48D70E" w14:textId="22E4DCAE" w:rsidR="00F87E87" w:rsidRDefault="00181D3E" w:rsidP="00181D3E">
      <w:pPr>
        <w:pStyle w:val="Heading4"/>
      </w:pPr>
      <w:r>
        <w:t xml:space="preserve">Where someone cannot hold or </w:t>
      </w:r>
      <w:r w:rsidR="000112D9">
        <w:t>display their religious beliefs in a mental health service</w:t>
      </w:r>
    </w:p>
    <w:p w14:paraId="187ECFCA" w14:textId="2CE1C953" w:rsidR="006A284F" w:rsidRDefault="6D69D0D5" w:rsidP="00737132">
      <w:r w:rsidRPr="6D69D0D5">
        <w:rPr>
          <w:lang w:eastAsia="en-AU"/>
        </w:rPr>
        <w:t>Sometimes restrictions placed in mental health services mean that someone cannot practice their religious beliefs.</w:t>
      </w:r>
      <w:r w:rsidR="00737132" w:rsidRPr="0091262D">
        <w:rPr>
          <w:rStyle w:val="FootnoteReference"/>
        </w:rPr>
        <w:footnoteReference w:id="101"/>
      </w:r>
      <w:r w:rsidRPr="6D69D0D5">
        <w:rPr>
          <w:lang w:eastAsia="en-AU"/>
        </w:rPr>
        <w:t xml:space="preserve"> For example, this may be around clothing restrictions</w:t>
      </w:r>
      <w:r w:rsidR="00A07915" w:rsidRPr="00746203">
        <w:rPr>
          <w:rStyle w:val="FootnoteReference"/>
        </w:rPr>
        <w:footnoteReference w:id="102"/>
      </w:r>
      <w:r w:rsidRPr="6D69D0D5">
        <w:rPr>
          <w:lang w:eastAsia="en-AU"/>
        </w:rPr>
        <w:t xml:space="preserve"> (such as on headscarfs) or access to a phone to read prayers</w:t>
      </w:r>
      <w:r w:rsidR="00014B85">
        <w:t>.</w:t>
      </w:r>
      <w:r w:rsidR="006D3405">
        <w:t xml:space="preserve"> </w:t>
      </w:r>
      <w:r>
        <w:t>One of the author’s of this guide saw several instances, in their advocacy and regulatory roles, of mental health consumers being prevented from practicing their religious beliefs on the basis of a clinical assessment or about concerns with suicide risk. In many of these cases less restrictive alternatives to address these risks were not explored.</w:t>
      </w:r>
    </w:p>
    <w:p w14:paraId="21AB745F" w14:textId="5FF1BF28" w:rsidR="00BE637F" w:rsidRDefault="6D69D0D5" w:rsidP="00746203">
      <w:r>
        <w:lastRenderedPageBreak/>
        <w:t>The division plays an important role in setting expectations of how human rights will be considered and upheld in services and pathways for people to make a complaint if their rights have been unreasonably restricted.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BE637F" w14:paraId="41F10895" w14:textId="77777777" w:rsidTr="00B146E3">
        <w:tc>
          <w:tcPr>
            <w:tcW w:w="9060" w:type="dxa"/>
            <w:tcBorders>
              <w:top w:val="thickThinSmallGap" w:sz="24" w:space="0" w:color="201547"/>
              <w:bottom w:val="thickThinSmallGap" w:sz="24" w:space="0" w:color="201547"/>
            </w:tcBorders>
            <w:shd w:val="clear" w:color="auto" w:fill="F2F2F2" w:themeFill="background1" w:themeFillShade="F2"/>
          </w:tcPr>
          <w:p w14:paraId="499C32C8" w14:textId="1CEF5DCF" w:rsidR="00BE637F" w:rsidRDefault="00BE637F" w:rsidP="00B146E3">
            <w:pPr>
              <w:rPr>
                <w:b/>
                <w:bCs/>
              </w:rPr>
            </w:pPr>
            <w:r>
              <w:rPr>
                <w:b/>
                <w:bCs/>
              </w:rPr>
              <w:t xml:space="preserve">Reminder: </w:t>
            </w:r>
            <w:r w:rsidR="00AC5EB7">
              <w:rPr>
                <w:b/>
                <w:bCs/>
              </w:rPr>
              <w:t xml:space="preserve">avoid pathologising </w:t>
            </w:r>
            <w:r w:rsidR="00A86EE3">
              <w:rPr>
                <w:b/>
                <w:bCs/>
              </w:rPr>
              <w:t>religious or other beliefs as ‘mental illness’</w:t>
            </w:r>
          </w:p>
          <w:p w14:paraId="08550D6F" w14:textId="24DF5C4D" w:rsidR="00BE637F" w:rsidRPr="008C4A9E" w:rsidRDefault="00AC5EB7" w:rsidP="00AC5EB7">
            <w:pPr>
              <w:spacing w:before="0" w:after="160" w:line="259" w:lineRule="auto"/>
            </w:pPr>
            <w:r>
              <w:t>People should not have their beliefs pathologised as a ‘mental illness’</w:t>
            </w:r>
            <w:r w:rsidR="00BE637F">
              <w:t>.</w:t>
            </w:r>
            <w:r>
              <w:t xml:space="preserve"> Section 4 of the </w:t>
            </w:r>
            <w:r w:rsidRPr="004532F2">
              <w:t>Mental Health and Wellbeing Act states</w:t>
            </w:r>
            <w:r>
              <w:t xml:space="preserve"> that a person cannot be considered to have a ‘mental illness by reason only of any one or more of’ several factors, including political beliefs, philosophies, religious beliefs or sexual preferences. </w:t>
            </w:r>
          </w:p>
        </w:tc>
      </w:tr>
    </w:tbl>
    <w:p w14:paraId="56E30AE1" w14:textId="77777777" w:rsidR="00BE637F" w:rsidRDefault="00BE637F" w:rsidP="00BE637F"/>
    <w:p w14:paraId="2074A5E6" w14:textId="060AA4C5" w:rsidR="00BE637F" w:rsidRDefault="00BE637F">
      <w:pPr>
        <w:sectPr w:rsidR="00BE637F" w:rsidSect="00271E88">
          <w:pgSz w:w="11906" w:h="16838"/>
          <w:pgMar w:top="1440" w:right="1418" w:bottom="1440" w:left="1418" w:header="708" w:footer="708" w:gutter="0"/>
          <w:cols w:space="708"/>
          <w:titlePg/>
          <w:docGrid w:linePitch="360"/>
        </w:sectPr>
      </w:pPr>
    </w:p>
    <w:p w14:paraId="530E2C9C" w14:textId="20792C92" w:rsidR="00407F83" w:rsidRDefault="00407F83" w:rsidP="00407F83">
      <w:pPr>
        <w:pStyle w:val="Heading1-report"/>
        <w:spacing w:before="0"/>
      </w:pPr>
      <w:r>
        <w:rPr>
          <w:noProof/>
        </w:rPr>
        <w:lastRenderedPageBreak/>
        <mc:AlternateContent>
          <mc:Choice Requires="wps">
            <w:drawing>
              <wp:anchor distT="0" distB="0" distL="114300" distR="114300" simplePos="0" relativeHeight="251658268" behindDoc="1" locked="0" layoutInCell="1" allowOverlap="1" wp14:anchorId="28313CE0" wp14:editId="3481D94E">
                <wp:simplePos x="0" y="0"/>
                <wp:positionH relativeFrom="page">
                  <wp:align>left</wp:align>
                </wp:positionH>
                <wp:positionV relativeFrom="paragraph">
                  <wp:posOffset>-901811</wp:posOffset>
                </wp:positionV>
                <wp:extent cx="10693593" cy="7952874"/>
                <wp:effectExtent l="0" t="0" r="12700" b="10160"/>
                <wp:wrapNone/>
                <wp:docPr id="236" name="Rectangle 236"/>
                <wp:cNvGraphicFramePr/>
                <a:graphic xmlns:a="http://schemas.openxmlformats.org/drawingml/2006/main">
                  <a:graphicData uri="http://schemas.microsoft.com/office/word/2010/wordprocessingShape">
                    <wps:wsp>
                      <wps:cNvSpPr/>
                      <wps:spPr>
                        <a:xfrm>
                          <a:off x="0" y="0"/>
                          <a:ext cx="10693593" cy="7952874"/>
                        </a:xfrm>
                        <a:prstGeom prst="rect">
                          <a:avLst/>
                        </a:prstGeom>
                        <a:solidFill>
                          <a:srgbClr val="D0E8E9"/>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DC378A" w14:textId="77777777" w:rsidR="00407F83" w:rsidRDefault="00407F83" w:rsidP="00407F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13CE0" id="Rectangle 236" o:spid="_x0000_s1040" style="position:absolute;margin-left:0;margin-top:-71pt;width:842pt;height:626.2pt;z-index:-2516582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" fillcolor="#d0e8e9" strokecolor="#1b383a [1604]" strokeweight="1pt">
                <v:textbox>
                  <w:txbxContent>
                    <w:p w14:paraId="74DC378A" w14:textId="77777777" w:rsidR="00407F83" w:rsidRDefault="00407F83" w:rsidP="00407F83">
                      <w:pPr>
                        <w:jc w:val="center"/>
                      </w:pPr>
                    </w:p>
                  </w:txbxContent>
                </v:textbox>
                <w10:wrap anchorx="page"/>
              </v:rect>
            </w:pict>
          </mc:Fallback>
        </mc:AlternateContent>
      </w:r>
      <w:r>
        <w:t>TAKE-HOMES: FREE THOUGHT, CONSCIENCE, RELIGION AND BELIEF</w:t>
      </w:r>
    </w:p>
    <w:tbl>
      <w:tblPr>
        <w:tblStyle w:val="TableGridLight"/>
        <w:tblW w:w="15446" w:type="dxa"/>
        <w:tblCellMar>
          <w:bottom w:w="284" w:type="dxa"/>
        </w:tblCellMar>
        <w:tblLook w:val="04A0" w:firstRow="1" w:lastRow="0" w:firstColumn="1" w:lastColumn="0" w:noHBand="0" w:noVBand="1"/>
      </w:tblPr>
      <w:tblGrid>
        <w:gridCol w:w="1056"/>
        <w:gridCol w:w="6085"/>
        <w:gridCol w:w="1056"/>
        <w:gridCol w:w="7249"/>
      </w:tblGrid>
      <w:tr w:rsidR="00407F83" w14:paraId="617BA76F" w14:textId="77777777" w:rsidTr="6D69D0D5">
        <w:tc>
          <w:tcPr>
            <w:tcW w:w="1056" w:type="dxa"/>
          </w:tcPr>
          <w:p w14:paraId="61D24F03" w14:textId="77777777" w:rsidR="00407F83" w:rsidRDefault="00407F83" w:rsidP="004F4360">
            <w:r>
              <w:rPr>
                <w:noProof/>
              </w:rPr>
              <w:drawing>
                <wp:inline distT="0" distB="0" distL="0" distR="0" wp14:anchorId="09FBF3D7" wp14:editId="21C623D3">
                  <wp:extent cx="526774" cy="526774"/>
                  <wp:effectExtent l="0" t="0" r="6985" b="6985"/>
                  <wp:docPr id="237" name="Graphic 237"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6085" w:type="dxa"/>
          </w:tcPr>
          <w:p w14:paraId="1FC5E159" w14:textId="69B6030E" w:rsidR="00407F83" w:rsidRDefault="6D69D0D5" w:rsidP="00967F79">
            <w:pPr>
              <w:pStyle w:val="Heading3-report"/>
            </w:pPr>
            <w:r>
              <w:t>Ensure clinical practice and service guidelines, and training, address cultural and religious beliefs</w:t>
            </w:r>
          </w:p>
          <w:p w14:paraId="6CCE52F9" w14:textId="65B61374" w:rsidR="006F6EC8" w:rsidRPr="006F6EC8" w:rsidRDefault="6D69D0D5" w:rsidP="006F6EC8">
            <w:r>
              <w:t xml:space="preserve">You may need to provide clinical practice and service guidelines on how mental health practitioners should engage with people from a range of cultural and religious beliefs. This may include how they are assessed, how </w:t>
            </w:r>
            <w:r w:rsidR="00560FEB">
              <w:t>this could influence individual clinician decisions as well as decisions that impact a whole ward.</w:t>
            </w:r>
          </w:p>
        </w:tc>
        <w:tc>
          <w:tcPr>
            <w:tcW w:w="1056" w:type="dxa"/>
          </w:tcPr>
          <w:p w14:paraId="42521677" w14:textId="77777777" w:rsidR="00407F83" w:rsidRDefault="00407F83" w:rsidP="004F4360">
            <w:r>
              <w:rPr>
                <w:noProof/>
              </w:rPr>
              <w:drawing>
                <wp:inline distT="0" distB="0" distL="0" distR="0" wp14:anchorId="49590947" wp14:editId="77C5C866">
                  <wp:extent cx="526774" cy="526774"/>
                  <wp:effectExtent l="0" t="0" r="6985" b="6985"/>
                  <wp:docPr id="238" name="Graphic 238"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7249" w:type="dxa"/>
          </w:tcPr>
          <w:p w14:paraId="62349E62" w14:textId="27076B82" w:rsidR="00407F83" w:rsidRDefault="6D69D0D5" w:rsidP="004F4360">
            <w:pPr>
              <w:pStyle w:val="Heading3-report"/>
            </w:pPr>
            <w:r>
              <w:t>Provide service models that offer someone the opportunity to get care in the community or in their</w:t>
            </w:r>
            <w:r w:rsidR="00746203">
              <w:t xml:space="preserve"> </w:t>
            </w:r>
            <w:r>
              <w:t>home (where they can more easily observe and practice their religion)</w:t>
            </w:r>
          </w:p>
          <w:p w14:paraId="17ACF690" w14:textId="429FB1CA" w:rsidR="00407F83" w:rsidRPr="00861362" w:rsidRDefault="6D69D0D5" w:rsidP="004F4360">
            <w:r>
              <w:t>Being moved to an inpatient unit might mean a person’s right to practice their religion and connect with their community is unnecessarily restricted. The Department should provide a range of service options, such as community services and hospital in the home, that allow a person to continue to engage in their faith in community with others should they want this.</w:t>
            </w:r>
          </w:p>
        </w:tc>
      </w:tr>
      <w:tr w:rsidR="00E700E0" w14:paraId="3396F949" w14:textId="77777777" w:rsidTr="6D69D0D5">
        <w:tc>
          <w:tcPr>
            <w:tcW w:w="1056" w:type="dxa"/>
            <w:shd w:val="clear" w:color="auto" w:fill="auto"/>
          </w:tcPr>
          <w:p w14:paraId="5FD34535" w14:textId="61D4DF88" w:rsidR="00E700E0" w:rsidRDefault="00E700E0" w:rsidP="00E700E0">
            <w:r>
              <w:rPr>
                <w:noProof/>
              </w:rPr>
              <w:drawing>
                <wp:inline distT="0" distB="0" distL="0" distR="0" wp14:anchorId="3E905C84" wp14:editId="433A1450">
                  <wp:extent cx="530705" cy="530705"/>
                  <wp:effectExtent l="0" t="0" r="3175" b="3175"/>
                  <wp:docPr id="240" name="Graphic 240" descr="Badge Cro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Badge Cross with solid fill"/>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30705" cy="530705"/>
                          </a:xfrm>
                          <a:prstGeom prst="rect">
                            <a:avLst/>
                          </a:prstGeom>
                        </pic:spPr>
                      </pic:pic>
                    </a:graphicData>
                  </a:graphic>
                </wp:inline>
              </w:drawing>
            </w:r>
          </w:p>
        </w:tc>
        <w:tc>
          <w:tcPr>
            <w:tcW w:w="6085" w:type="dxa"/>
          </w:tcPr>
          <w:p w14:paraId="262A0B2B" w14:textId="77777777" w:rsidR="00E700E0" w:rsidRDefault="00E700E0" w:rsidP="00E700E0">
            <w:pPr>
              <w:pStyle w:val="Heading3-report"/>
            </w:pPr>
            <w:r>
              <w:t>Don’t permit unjustified limitations on religious and other rights</w:t>
            </w:r>
          </w:p>
          <w:p w14:paraId="3D2A2D02" w14:textId="35FB3CC0" w:rsidR="00E700E0" w:rsidRPr="008274CA" w:rsidRDefault="00E700E0" w:rsidP="00E700E0">
            <w:r>
              <w:t xml:space="preserve">Ongoing communications with mental health services should make clear their duties to ensure that consumers are able to practice their religious and other cultural beliefs. </w:t>
            </w:r>
          </w:p>
        </w:tc>
        <w:tc>
          <w:tcPr>
            <w:tcW w:w="1056" w:type="dxa"/>
          </w:tcPr>
          <w:p w14:paraId="160D70BC" w14:textId="3D42721B" w:rsidR="00E700E0" w:rsidRDefault="00E700E0" w:rsidP="00E700E0"/>
        </w:tc>
        <w:tc>
          <w:tcPr>
            <w:tcW w:w="7249" w:type="dxa"/>
          </w:tcPr>
          <w:p w14:paraId="5554DC5F" w14:textId="14207C04" w:rsidR="00E700E0" w:rsidRPr="00796694" w:rsidRDefault="00E700E0" w:rsidP="00E700E0"/>
        </w:tc>
      </w:tr>
    </w:tbl>
    <w:p w14:paraId="360D3103" w14:textId="77777777" w:rsidR="002C4FFB" w:rsidRDefault="002C4FFB">
      <w:pPr>
        <w:sectPr w:rsidR="002C4FFB" w:rsidSect="002C4FFB">
          <w:pgSz w:w="16838" w:h="11906" w:orient="landscape"/>
          <w:pgMar w:top="720" w:right="720" w:bottom="720" w:left="720" w:header="708" w:footer="708" w:gutter="0"/>
          <w:cols w:space="708"/>
          <w:titlePg/>
          <w:docGrid w:linePitch="360"/>
        </w:sectPr>
      </w:pPr>
    </w:p>
    <w:p w14:paraId="323DBD9B" w14:textId="4A71505D" w:rsidR="00A9204B" w:rsidRDefault="00BB518C" w:rsidP="007A4E66">
      <w:pPr>
        <w:pStyle w:val="Heading1-report"/>
        <w:spacing w:before="0"/>
        <w:ind w:left="720" w:firstLine="720"/>
      </w:pPr>
      <w:r>
        <w:rPr>
          <w:noProof/>
        </w:rPr>
        <w:lastRenderedPageBreak/>
        <w:drawing>
          <wp:anchor distT="0" distB="0" distL="114300" distR="114300" simplePos="0" relativeHeight="251658267" behindDoc="0" locked="0" layoutInCell="1" allowOverlap="1" wp14:anchorId="77DBA5A9" wp14:editId="50C02CD0">
            <wp:simplePos x="0" y="0"/>
            <wp:positionH relativeFrom="margin">
              <wp:align>left</wp:align>
            </wp:positionH>
            <wp:positionV relativeFrom="paragraph">
              <wp:posOffset>6407</wp:posOffset>
            </wp:positionV>
            <wp:extent cx="669157" cy="471054"/>
            <wp:effectExtent l="0" t="0" r="0" b="5715"/>
            <wp:wrapNone/>
            <wp:docPr id="209" name="Picture 209" descr="Speech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descr="Speechbubbles"/>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t="13456" b="16149"/>
                    <a:stretch/>
                  </pic:blipFill>
                  <pic:spPr bwMode="auto">
                    <a:xfrm>
                      <a:off x="0" y="0"/>
                      <a:ext cx="669157" cy="4710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204B">
        <w:t>Freedom of expression (section 15)</w:t>
      </w:r>
    </w:p>
    <w:p w14:paraId="4F8FFC50" w14:textId="67A446FA" w:rsidR="003551BF" w:rsidRDefault="005E110D" w:rsidP="005E110D">
      <w:pPr>
        <w:spacing w:after="240"/>
      </w:pPr>
      <w:r>
        <w:rPr>
          <w:noProof/>
        </w:rPr>
        <mc:AlternateContent>
          <mc:Choice Requires="wps">
            <w:drawing>
              <wp:anchor distT="45720" distB="45720" distL="114300" distR="114300" simplePos="0" relativeHeight="251658295" behindDoc="0" locked="0" layoutInCell="1" allowOverlap="1" wp14:anchorId="4C42DF69" wp14:editId="4B6D00A8">
                <wp:simplePos x="0" y="0"/>
                <wp:positionH relativeFrom="margin">
                  <wp:posOffset>6350</wp:posOffset>
                </wp:positionH>
                <wp:positionV relativeFrom="paragraph">
                  <wp:posOffset>438958</wp:posOffset>
                </wp:positionV>
                <wp:extent cx="5735955" cy="1404620"/>
                <wp:effectExtent l="0" t="0" r="17145" b="28575"/>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404620"/>
                        </a:xfrm>
                        <a:prstGeom prst="rect">
                          <a:avLst/>
                        </a:prstGeom>
                        <a:solidFill>
                          <a:srgbClr val="201547"/>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32C1A058" w14:textId="77777777" w:rsidR="005E110D" w:rsidRPr="005E110D" w:rsidRDefault="005E110D" w:rsidP="005E110D">
                            <w:pPr>
                              <w:pStyle w:val="Heading3-report"/>
                              <w:rPr>
                                <w:color w:val="FFFFFF" w:themeColor="background1"/>
                              </w:rPr>
                            </w:pPr>
                            <w:r w:rsidRPr="005E110D">
                              <w:rPr>
                                <w:color w:val="FFFFFF" w:themeColor="background1"/>
                              </w:rPr>
                              <w:t>Section 15 Freedom of expression</w:t>
                            </w:r>
                          </w:p>
                          <w:p w14:paraId="49310EAF" w14:textId="77777777" w:rsidR="005E110D" w:rsidRPr="005E110D" w:rsidRDefault="005E110D" w:rsidP="00E225B4">
                            <w:pPr>
                              <w:pStyle w:val="ListParagraph"/>
                              <w:numPr>
                                <w:ilvl w:val="0"/>
                                <w:numId w:val="15"/>
                              </w:numPr>
                              <w:rPr>
                                <w:color w:val="FFFFFF" w:themeColor="background1"/>
                              </w:rPr>
                            </w:pPr>
                            <w:r w:rsidRPr="005E110D">
                              <w:rPr>
                                <w:color w:val="FFFFFF" w:themeColor="background1"/>
                              </w:rPr>
                              <w:t>Every person has the right to hold an opinion without interference.</w:t>
                            </w:r>
                          </w:p>
                          <w:p w14:paraId="7A0D2AAF" w14:textId="77777777" w:rsidR="005E110D" w:rsidRPr="005E110D" w:rsidRDefault="005E110D" w:rsidP="00E225B4">
                            <w:pPr>
                              <w:pStyle w:val="ListParagraph"/>
                              <w:numPr>
                                <w:ilvl w:val="0"/>
                                <w:numId w:val="15"/>
                              </w:numPr>
                              <w:rPr>
                                <w:color w:val="FFFFFF" w:themeColor="background1"/>
                              </w:rPr>
                            </w:pPr>
                            <w:r w:rsidRPr="005E110D">
                              <w:rPr>
                                <w:color w:val="FFFFFF" w:themeColor="background1"/>
                              </w:rPr>
                              <w:t xml:space="preserve">Every person has the right to freedom of expression which includes the freedom to seek, receive and impart information and ideas of all kinds, whether within or outside Victoria and whether </w:t>
                            </w:r>
                            <w:r w:rsidRPr="005E110D">
                              <w:rPr>
                                <w:color w:val="FFFFFF" w:themeColor="background1"/>
                              </w:rPr>
                              <w:softHyphen/>
                              <w:t>—</w:t>
                            </w:r>
                          </w:p>
                          <w:p w14:paraId="662B76FB" w14:textId="77777777" w:rsidR="005E110D" w:rsidRPr="005E110D" w:rsidRDefault="005E110D" w:rsidP="00E225B4">
                            <w:pPr>
                              <w:pStyle w:val="ListParagraph"/>
                              <w:numPr>
                                <w:ilvl w:val="0"/>
                                <w:numId w:val="16"/>
                              </w:numPr>
                              <w:rPr>
                                <w:color w:val="FFFFFF" w:themeColor="background1"/>
                              </w:rPr>
                            </w:pPr>
                            <w:r w:rsidRPr="005E110D">
                              <w:rPr>
                                <w:color w:val="FFFFFF" w:themeColor="background1"/>
                              </w:rPr>
                              <w:t>orally; or</w:t>
                            </w:r>
                          </w:p>
                          <w:p w14:paraId="2C805B51" w14:textId="77777777" w:rsidR="005E110D" w:rsidRPr="005E110D" w:rsidRDefault="005E110D" w:rsidP="00E225B4">
                            <w:pPr>
                              <w:pStyle w:val="ListParagraph"/>
                              <w:numPr>
                                <w:ilvl w:val="0"/>
                                <w:numId w:val="16"/>
                              </w:numPr>
                              <w:rPr>
                                <w:color w:val="FFFFFF" w:themeColor="background1"/>
                              </w:rPr>
                            </w:pPr>
                            <w:r w:rsidRPr="005E110D">
                              <w:rPr>
                                <w:color w:val="FFFFFF" w:themeColor="background1"/>
                              </w:rPr>
                              <w:t>in writing; or</w:t>
                            </w:r>
                          </w:p>
                          <w:p w14:paraId="533C0DFD" w14:textId="77777777" w:rsidR="005E110D" w:rsidRPr="005E110D" w:rsidRDefault="005E110D" w:rsidP="00E225B4">
                            <w:pPr>
                              <w:pStyle w:val="ListParagraph"/>
                              <w:numPr>
                                <w:ilvl w:val="0"/>
                                <w:numId w:val="16"/>
                              </w:numPr>
                              <w:rPr>
                                <w:color w:val="FFFFFF" w:themeColor="background1"/>
                              </w:rPr>
                            </w:pPr>
                            <w:r w:rsidRPr="005E110D">
                              <w:rPr>
                                <w:color w:val="FFFFFF" w:themeColor="background1"/>
                              </w:rPr>
                              <w:t>in print; or</w:t>
                            </w:r>
                          </w:p>
                          <w:p w14:paraId="41F17B67" w14:textId="77777777" w:rsidR="005E110D" w:rsidRPr="005E110D" w:rsidRDefault="005E110D" w:rsidP="00E225B4">
                            <w:pPr>
                              <w:pStyle w:val="ListParagraph"/>
                              <w:numPr>
                                <w:ilvl w:val="0"/>
                                <w:numId w:val="16"/>
                              </w:numPr>
                              <w:rPr>
                                <w:color w:val="FFFFFF" w:themeColor="background1"/>
                              </w:rPr>
                            </w:pPr>
                            <w:r w:rsidRPr="005E110D">
                              <w:rPr>
                                <w:color w:val="FFFFFF" w:themeColor="background1"/>
                              </w:rPr>
                              <w:t>by way of art; or</w:t>
                            </w:r>
                          </w:p>
                          <w:p w14:paraId="6817E5BF" w14:textId="77777777" w:rsidR="005E110D" w:rsidRPr="005E110D" w:rsidRDefault="005E110D" w:rsidP="00E225B4">
                            <w:pPr>
                              <w:pStyle w:val="ListParagraph"/>
                              <w:numPr>
                                <w:ilvl w:val="0"/>
                                <w:numId w:val="16"/>
                              </w:numPr>
                              <w:rPr>
                                <w:color w:val="FFFFFF" w:themeColor="background1"/>
                              </w:rPr>
                            </w:pPr>
                            <w:r w:rsidRPr="005E110D">
                              <w:rPr>
                                <w:color w:val="FFFFFF" w:themeColor="background1"/>
                              </w:rPr>
                              <w:t>in another medium chosen by him or her.</w:t>
                            </w:r>
                          </w:p>
                          <w:p w14:paraId="77D5CD97" w14:textId="77777777" w:rsidR="005E110D" w:rsidRPr="005E110D" w:rsidRDefault="005E110D" w:rsidP="00E225B4">
                            <w:pPr>
                              <w:pStyle w:val="ListParagraph"/>
                              <w:numPr>
                                <w:ilvl w:val="0"/>
                                <w:numId w:val="15"/>
                              </w:numPr>
                              <w:rPr>
                                <w:color w:val="FFFFFF" w:themeColor="background1"/>
                              </w:rPr>
                            </w:pPr>
                            <w:r w:rsidRPr="005E110D">
                              <w:rPr>
                                <w:color w:val="FFFFFF" w:themeColor="background1"/>
                              </w:rPr>
                              <w:t>Special duties and responsibilities are attached to the right of freedom of expression and the right may be subject to lawful restrictions reasonably necessary</w:t>
                            </w:r>
                            <w:r w:rsidRPr="005E110D">
                              <w:rPr>
                                <w:color w:val="FFFFFF" w:themeColor="background1"/>
                              </w:rPr>
                              <w:softHyphen/>
                              <w:t>—</w:t>
                            </w:r>
                          </w:p>
                          <w:p w14:paraId="42FFBEA6" w14:textId="77777777" w:rsidR="005E110D" w:rsidRPr="005E110D" w:rsidRDefault="005E110D" w:rsidP="00E225B4">
                            <w:pPr>
                              <w:pStyle w:val="ListParagraph"/>
                              <w:numPr>
                                <w:ilvl w:val="0"/>
                                <w:numId w:val="17"/>
                              </w:numPr>
                              <w:rPr>
                                <w:color w:val="FFFFFF" w:themeColor="background1"/>
                              </w:rPr>
                            </w:pPr>
                            <w:r w:rsidRPr="005E110D">
                              <w:rPr>
                                <w:color w:val="FFFFFF" w:themeColor="background1"/>
                              </w:rPr>
                              <w:t xml:space="preserve">to respect the rights and reputation of other persons; or </w:t>
                            </w:r>
                          </w:p>
                          <w:p w14:paraId="016739D6" w14:textId="0472CBC4" w:rsidR="005E110D" w:rsidRPr="005E110D" w:rsidRDefault="005E110D" w:rsidP="00E225B4">
                            <w:pPr>
                              <w:pStyle w:val="ListParagraph"/>
                              <w:numPr>
                                <w:ilvl w:val="0"/>
                                <w:numId w:val="17"/>
                              </w:numPr>
                              <w:rPr>
                                <w:color w:val="FFFFFF" w:themeColor="background1"/>
                              </w:rPr>
                            </w:pPr>
                            <w:r w:rsidRPr="005E110D">
                              <w:rPr>
                                <w:color w:val="FFFFFF" w:themeColor="background1"/>
                              </w:rPr>
                              <w:t>for the protection of national security, public order, public health or public morality.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42DF69" id="Text Box 248" o:spid="_x0000_s1041" type="#_x0000_t202" style="position:absolute;margin-left:.5pt;margin-top:34.55pt;width:451.65pt;height:110.6pt;z-index:25165829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" fillcolor="#201547" strokecolor="#1b383a [1604]" strokeweight="1pt">
                <v:textbox style="mso-fit-shape-to-text:t">
                  <w:txbxContent>
                    <w:p w14:paraId="32C1A058" w14:textId="77777777" w:rsidR="005E110D" w:rsidRPr="005E110D" w:rsidRDefault="005E110D" w:rsidP="005E110D">
                      <w:pPr>
                        <w:pStyle w:val="Heading3-report"/>
                        <w:rPr>
                          <w:color w:val="FFFFFF" w:themeColor="background1"/>
                        </w:rPr>
                      </w:pPr>
                      <w:r w:rsidRPr="005E110D">
                        <w:rPr>
                          <w:color w:val="FFFFFF" w:themeColor="background1"/>
                        </w:rPr>
                        <w:t>Section 15 Freedom of expression</w:t>
                      </w:r>
                    </w:p>
                    <w:p w14:paraId="49310EAF" w14:textId="77777777" w:rsidR="005E110D" w:rsidRPr="005E110D" w:rsidRDefault="005E110D" w:rsidP="00E225B4">
                      <w:pPr>
                        <w:pStyle w:val="ListParagraph"/>
                        <w:numPr>
                          <w:ilvl w:val="0"/>
                          <w:numId w:val="15"/>
                        </w:numPr>
                        <w:rPr>
                          <w:color w:val="FFFFFF" w:themeColor="background1"/>
                        </w:rPr>
                      </w:pPr>
                      <w:r w:rsidRPr="005E110D">
                        <w:rPr>
                          <w:color w:val="FFFFFF" w:themeColor="background1"/>
                        </w:rPr>
                        <w:t>Every person has the right to hold an opinion without interference.</w:t>
                      </w:r>
                    </w:p>
                    <w:p w14:paraId="7A0D2AAF" w14:textId="77777777" w:rsidR="005E110D" w:rsidRPr="005E110D" w:rsidRDefault="005E110D" w:rsidP="00E225B4">
                      <w:pPr>
                        <w:pStyle w:val="ListParagraph"/>
                        <w:numPr>
                          <w:ilvl w:val="0"/>
                          <w:numId w:val="15"/>
                        </w:numPr>
                        <w:rPr>
                          <w:color w:val="FFFFFF" w:themeColor="background1"/>
                        </w:rPr>
                      </w:pPr>
                      <w:r w:rsidRPr="005E110D">
                        <w:rPr>
                          <w:color w:val="FFFFFF" w:themeColor="background1"/>
                        </w:rPr>
                        <w:t xml:space="preserve">Every person has the right to freedom of expression which includes the freedom to seek, receive and impart information and ideas of all kinds, whether within or outside Victoria and whether </w:t>
                      </w:r>
                      <w:r w:rsidRPr="005E110D">
                        <w:rPr>
                          <w:color w:val="FFFFFF" w:themeColor="background1"/>
                        </w:rPr>
                        <w:softHyphen/>
                        <w:t>—</w:t>
                      </w:r>
                    </w:p>
                    <w:p w14:paraId="662B76FB" w14:textId="77777777" w:rsidR="005E110D" w:rsidRPr="005E110D" w:rsidRDefault="005E110D" w:rsidP="00E225B4">
                      <w:pPr>
                        <w:pStyle w:val="ListParagraph"/>
                        <w:numPr>
                          <w:ilvl w:val="0"/>
                          <w:numId w:val="16"/>
                        </w:numPr>
                        <w:rPr>
                          <w:color w:val="FFFFFF" w:themeColor="background1"/>
                        </w:rPr>
                      </w:pPr>
                      <w:r w:rsidRPr="005E110D">
                        <w:rPr>
                          <w:color w:val="FFFFFF" w:themeColor="background1"/>
                        </w:rPr>
                        <w:t>orally; or</w:t>
                      </w:r>
                    </w:p>
                    <w:p w14:paraId="2C805B51" w14:textId="77777777" w:rsidR="005E110D" w:rsidRPr="005E110D" w:rsidRDefault="005E110D" w:rsidP="00E225B4">
                      <w:pPr>
                        <w:pStyle w:val="ListParagraph"/>
                        <w:numPr>
                          <w:ilvl w:val="0"/>
                          <w:numId w:val="16"/>
                        </w:numPr>
                        <w:rPr>
                          <w:color w:val="FFFFFF" w:themeColor="background1"/>
                        </w:rPr>
                      </w:pPr>
                      <w:r w:rsidRPr="005E110D">
                        <w:rPr>
                          <w:color w:val="FFFFFF" w:themeColor="background1"/>
                        </w:rPr>
                        <w:t>in writing; or</w:t>
                      </w:r>
                    </w:p>
                    <w:p w14:paraId="533C0DFD" w14:textId="77777777" w:rsidR="005E110D" w:rsidRPr="005E110D" w:rsidRDefault="005E110D" w:rsidP="00E225B4">
                      <w:pPr>
                        <w:pStyle w:val="ListParagraph"/>
                        <w:numPr>
                          <w:ilvl w:val="0"/>
                          <w:numId w:val="16"/>
                        </w:numPr>
                        <w:rPr>
                          <w:color w:val="FFFFFF" w:themeColor="background1"/>
                        </w:rPr>
                      </w:pPr>
                      <w:r w:rsidRPr="005E110D">
                        <w:rPr>
                          <w:color w:val="FFFFFF" w:themeColor="background1"/>
                        </w:rPr>
                        <w:t>in print; or</w:t>
                      </w:r>
                    </w:p>
                    <w:p w14:paraId="41F17B67" w14:textId="77777777" w:rsidR="005E110D" w:rsidRPr="005E110D" w:rsidRDefault="005E110D" w:rsidP="00E225B4">
                      <w:pPr>
                        <w:pStyle w:val="ListParagraph"/>
                        <w:numPr>
                          <w:ilvl w:val="0"/>
                          <w:numId w:val="16"/>
                        </w:numPr>
                        <w:rPr>
                          <w:color w:val="FFFFFF" w:themeColor="background1"/>
                        </w:rPr>
                      </w:pPr>
                      <w:r w:rsidRPr="005E110D">
                        <w:rPr>
                          <w:color w:val="FFFFFF" w:themeColor="background1"/>
                        </w:rPr>
                        <w:t>by way of art; or</w:t>
                      </w:r>
                    </w:p>
                    <w:p w14:paraId="6817E5BF" w14:textId="77777777" w:rsidR="005E110D" w:rsidRPr="005E110D" w:rsidRDefault="005E110D" w:rsidP="00E225B4">
                      <w:pPr>
                        <w:pStyle w:val="ListParagraph"/>
                        <w:numPr>
                          <w:ilvl w:val="0"/>
                          <w:numId w:val="16"/>
                        </w:numPr>
                        <w:rPr>
                          <w:color w:val="FFFFFF" w:themeColor="background1"/>
                        </w:rPr>
                      </w:pPr>
                      <w:r w:rsidRPr="005E110D">
                        <w:rPr>
                          <w:color w:val="FFFFFF" w:themeColor="background1"/>
                        </w:rPr>
                        <w:t>in another medium chosen by him or her.</w:t>
                      </w:r>
                    </w:p>
                    <w:p w14:paraId="77D5CD97" w14:textId="77777777" w:rsidR="005E110D" w:rsidRPr="005E110D" w:rsidRDefault="005E110D" w:rsidP="00E225B4">
                      <w:pPr>
                        <w:pStyle w:val="ListParagraph"/>
                        <w:numPr>
                          <w:ilvl w:val="0"/>
                          <w:numId w:val="15"/>
                        </w:numPr>
                        <w:rPr>
                          <w:color w:val="FFFFFF" w:themeColor="background1"/>
                        </w:rPr>
                      </w:pPr>
                      <w:r w:rsidRPr="005E110D">
                        <w:rPr>
                          <w:color w:val="FFFFFF" w:themeColor="background1"/>
                        </w:rPr>
                        <w:t>Special duties and responsibilities are attached to the right of freedom of expression and the right may be subject to lawful restrictions reasonably necessary</w:t>
                      </w:r>
                      <w:r w:rsidRPr="005E110D">
                        <w:rPr>
                          <w:color w:val="FFFFFF" w:themeColor="background1"/>
                        </w:rPr>
                        <w:softHyphen/>
                        <w:t>—</w:t>
                      </w:r>
                    </w:p>
                    <w:p w14:paraId="42FFBEA6" w14:textId="77777777" w:rsidR="005E110D" w:rsidRPr="005E110D" w:rsidRDefault="005E110D" w:rsidP="00E225B4">
                      <w:pPr>
                        <w:pStyle w:val="ListParagraph"/>
                        <w:numPr>
                          <w:ilvl w:val="0"/>
                          <w:numId w:val="17"/>
                        </w:numPr>
                        <w:rPr>
                          <w:color w:val="FFFFFF" w:themeColor="background1"/>
                        </w:rPr>
                      </w:pPr>
                      <w:r w:rsidRPr="005E110D">
                        <w:rPr>
                          <w:color w:val="FFFFFF" w:themeColor="background1"/>
                        </w:rPr>
                        <w:t xml:space="preserve">to respect the rights and reputation of other persons; or </w:t>
                      </w:r>
                    </w:p>
                    <w:p w14:paraId="016739D6" w14:textId="0472CBC4" w:rsidR="005E110D" w:rsidRPr="005E110D" w:rsidRDefault="005E110D" w:rsidP="00E225B4">
                      <w:pPr>
                        <w:pStyle w:val="ListParagraph"/>
                        <w:numPr>
                          <w:ilvl w:val="0"/>
                          <w:numId w:val="17"/>
                        </w:numPr>
                        <w:rPr>
                          <w:color w:val="FFFFFF" w:themeColor="background1"/>
                        </w:rPr>
                      </w:pPr>
                      <w:r w:rsidRPr="005E110D">
                        <w:rPr>
                          <w:color w:val="FFFFFF" w:themeColor="background1"/>
                        </w:rPr>
                        <w:t>for the protection of national security, public order, public health or public morality.</w:t>
                      </w:r>
                    </w:p>
                  </w:txbxContent>
                </v:textbox>
                <w10:wrap type="square" anchorx="margin"/>
              </v:shape>
            </w:pict>
          </mc:Fallback>
        </mc:AlternateContent>
      </w:r>
    </w:p>
    <w:p w14:paraId="269DE7F1" w14:textId="3E731A72" w:rsidR="002B72B3" w:rsidRPr="005E110D" w:rsidRDefault="00ED28B8" w:rsidP="00676E40">
      <w:pPr>
        <w:pStyle w:val="BoldedRightsIntro"/>
      </w:pPr>
      <w:r w:rsidRPr="005E110D">
        <w:t xml:space="preserve">The right to freedom </w:t>
      </w:r>
      <w:r w:rsidR="002A1E25" w:rsidRPr="005E110D">
        <w:t xml:space="preserve">of expression </w:t>
      </w:r>
      <w:r w:rsidR="00761FFE" w:rsidRPr="005E110D">
        <w:t>is considered by man</w:t>
      </w:r>
      <w:r w:rsidR="002B72B3" w:rsidRPr="005E110D">
        <w:t>y to be a foundational right to liberal democracies</w:t>
      </w:r>
      <w:r w:rsidR="00302D55" w:rsidRPr="005E110D">
        <w:t>.</w:t>
      </w:r>
      <w:r w:rsidR="006E0ED7" w:rsidRPr="0091262D">
        <w:rPr>
          <w:rStyle w:val="FootnoteReference"/>
        </w:rPr>
        <w:footnoteReference w:id="103"/>
      </w:r>
      <w:r w:rsidR="002B72B3" w:rsidRPr="005E110D">
        <w:t xml:space="preserve"> What is less understood is that this </w:t>
      </w:r>
      <w:r w:rsidR="002B72B3" w:rsidRPr="00676E40">
        <w:t>right</w:t>
      </w:r>
      <w:r w:rsidR="002B72B3" w:rsidRPr="005E110D">
        <w:t xml:space="preserve"> not only protects ‘free speech’. It also generates rights to information </w:t>
      </w:r>
      <w:r w:rsidR="002B72B3" w:rsidRPr="6D69D0D5">
        <w:rPr>
          <w:i/>
          <w:iCs/>
        </w:rPr>
        <w:t>from</w:t>
      </w:r>
      <w:r w:rsidR="002B72B3" w:rsidRPr="005E110D">
        <w:t xml:space="preserve"> governments.</w:t>
      </w:r>
    </w:p>
    <w:p w14:paraId="6A74F9BD" w14:textId="38A2E459" w:rsidR="00540486" w:rsidRPr="00540486" w:rsidRDefault="00540486" w:rsidP="004D3D41">
      <w:pPr>
        <w:pStyle w:val="Heading3-report"/>
      </w:pPr>
      <w:r>
        <w:t>Different elements of this right</w:t>
      </w:r>
    </w:p>
    <w:p w14:paraId="3F416C77" w14:textId="5C1F060B" w:rsidR="009B6985" w:rsidRDefault="009B6985" w:rsidP="00540486">
      <w:pPr>
        <w:pStyle w:val="Heading4"/>
      </w:pPr>
      <w:r>
        <w:t>The right</w:t>
      </w:r>
      <w:r w:rsidR="00CF2979">
        <w:t xml:space="preserve"> </w:t>
      </w:r>
      <w:r>
        <w:t>to hold an opinion</w:t>
      </w:r>
    </w:p>
    <w:p w14:paraId="5977642B" w14:textId="4E2CFFE8" w:rsidR="009E086D" w:rsidRPr="003920F4" w:rsidRDefault="005F00DF" w:rsidP="00942678">
      <w:r>
        <w:rPr>
          <w:lang w:eastAsia="en-AU"/>
        </w:rPr>
        <w:t>The right to hold an opinion without interference</w:t>
      </w:r>
      <w:r w:rsidR="00F266F7">
        <w:rPr>
          <w:lang w:eastAsia="en-AU"/>
        </w:rPr>
        <w:t xml:space="preserve"> is similar to section</w:t>
      </w:r>
      <w:r w:rsidR="009153A3">
        <w:rPr>
          <w:lang w:eastAsia="en-AU"/>
        </w:rPr>
        <w:t xml:space="preserve"> 14 in that it is considered absolute under international law.</w:t>
      </w:r>
      <w:r w:rsidR="00BA71E3" w:rsidRPr="0091262D">
        <w:rPr>
          <w:rStyle w:val="FootnoteReference"/>
        </w:rPr>
        <w:footnoteReference w:id="104"/>
      </w:r>
      <w:r w:rsidR="00D20358">
        <w:t xml:space="preserve"> However, </w:t>
      </w:r>
      <w:r w:rsidR="00BA71E3">
        <w:t>it is worth noting that all rights under the Charter can be limited under section 7(2) in certain circumstances.</w:t>
      </w:r>
      <w:r w:rsidR="00B12949">
        <w:t xml:space="preserve"> </w:t>
      </w:r>
    </w:p>
    <w:p w14:paraId="52E7BE93" w14:textId="05DFF052" w:rsidR="00277FFA" w:rsidRDefault="00C94E79" w:rsidP="007D13C6">
      <w:pPr>
        <w:keepNext/>
        <w:rPr>
          <w:b/>
          <w:bCs/>
        </w:rPr>
      </w:pPr>
      <w:r>
        <w:rPr>
          <w:b/>
          <w:bCs/>
        </w:rPr>
        <w:t>Imparting ideas and information (‘free speech’)</w:t>
      </w:r>
    </w:p>
    <w:p w14:paraId="77243C11" w14:textId="6A48B7B0" w:rsidR="00A61099" w:rsidRDefault="0033542F" w:rsidP="00A61099">
      <w:r>
        <w:t>Freedom of expression</w:t>
      </w:r>
      <w:r w:rsidR="6D69D0D5">
        <w:t xml:space="preserve">, including ‘free speech’, </w:t>
      </w:r>
      <w:r>
        <w:t xml:space="preserve">is crucial to the discovery of truth, individual self-fulfilment and </w:t>
      </w:r>
      <w:r w:rsidR="000C077E">
        <w:t>democratic governance.</w:t>
      </w:r>
      <w:r w:rsidR="000C077E" w:rsidRPr="0091262D">
        <w:rPr>
          <w:rStyle w:val="FootnoteReference"/>
        </w:rPr>
        <w:footnoteReference w:id="105"/>
      </w:r>
      <w:r w:rsidR="00440184">
        <w:t xml:space="preserve"> </w:t>
      </w:r>
      <w:r w:rsidR="6D69D0D5">
        <w:t xml:space="preserve">This right is limited by the need to respect the </w:t>
      </w:r>
      <w:r w:rsidR="6D69D0D5">
        <w:lastRenderedPageBreak/>
        <w:t>rights of others and of the need to maintain national security, public order, public health or public morality.</w:t>
      </w:r>
      <w:r w:rsidR="00BD6B2C" w:rsidRPr="0091262D">
        <w:rPr>
          <w:rStyle w:val="FootnoteReference"/>
        </w:rPr>
        <w:footnoteReference w:id="106"/>
      </w:r>
      <w:r w:rsidR="6D69D0D5">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A61099" w14:paraId="35AF7D74" w14:textId="77777777" w:rsidTr="6D69D0D5">
        <w:tc>
          <w:tcPr>
            <w:tcW w:w="9060" w:type="dxa"/>
            <w:tcBorders>
              <w:top w:val="thickThinSmallGap" w:sz="24" w:space="0" w:color="201547"/>
              <w:bottom w:val="thickThinSmallGap" w:sz="24" w:space="0" w:color="201547"/>
            </w:tcBorders>
            <w:shd w:val="clear" w:color="auto" w:fill="F2F2F2" w:themeFill="background1" w:themeFillShade="F2"/>
          </w:tcPr>
          <w:p w14:paraId="2B3D2E5A" w14:textId="38C4DFAA" w:rsidR="00A61099" w:rsidRDefault="00A61099" w:rsidP="00A61099">
            <w:pPr>
              <w:rPr>
                <w:b/>
                <w:bCs/>
              </w:rPr>
            </w:pPr>
            <w:r>
              <w:rPr>
                <w:b/>
                <w:bCs/>
              </w:rPr>
              <w:t>Did you know that we have no</w:t>
            </w:r>
            <w:r w:rsidR="0064645D">
              <w:rPr>
                <w:b/>
                <w:bCs/>
              </w:rPr>
              <w:t xml:space="preserve"> Victorian</w:t>
            </w:r>
            <w:r>
              <w:rPr>
                <w:b/>
                <w:bCs/>
              </w:rPr>
              <w:t xml:space="preserve"> laws against mental health vilification?</w:t>
            </w:r>
          </w:p>
          <w:p w14:paraId="4FC0E21E" w14:textId="79056DB3" w:rsidR="00A61099" w:rsidRPr="008C4A9E" w:rsidRDefault="6D69D0D5" w:rsidP="0095488A">
            <w:r>
              <w:t>One of the limitations on freedom of expression is to protect against the rights and reputation of others. The Royal Commission found several examples mental health stigma in the community and in media and the negative impact this had on people’s lives.</w:t>
            </w:r>
            <w:r w:rsidR="003B40C9" w:rsidRPr="0091262D">
              <w:rPr>
                <w:rStyle w:val="FootnoteReference"/>
              </w:rPr>
              <w:footnoteReference w:id="107"/>
            </w:r>
            <w:r>
              <w:t xml:space="preserve"> Examples include regular use of terms ‘psycho’ or ‘schizo’ as insults or the use of mental health diagnoses to discredit the believability of individuals.</w:t>
            </w:r>
            <w:r w:rsidR="00694C84" w:rsidRPr="0091262D">
              <w:rPr>
                <w:rStyle w:val="FootnoteReference"/>
              </w:rPr>
              <w:footnoteReference w:id="108"/>
            </w:r>
            <w:r>
              <w:t xml:space="preserve"> Despite these examples, only the ACT and Tasmania have anti-vilification laws for people with a disability (which includes people diagnosed with mental health issues).</w:t>
            </w:r>
            <w:r w:rsidR="0064645D" w:rsidRPr="0091262D">
              <w:rPr>
                <w:rStyle w:val="FootnoteReference"/>
              </w:rPr>
              <w:footnoteReference w:id="109"/>
            </w:r>
          </w:p>
        </w:tc>
      </w:tr>
    </w:tbl>
    <w:p w14:paraId="2D29B72C" w14:textId="12720AD4" w:rsidR="003A2ACB" w:rsidRDefault="003A2ACB" w:rsidP="0095488A">
      <w:pPr>
        <w:pStyle w:val="Heading4"/>
        <w:rPr>
          <w:bCs/>
        </w:rPr>
      </w:pPr>
      <w:r>
        <w:rPr>
          <w:bCs/>
        </w:rPr>
        <w:t>The right to seek and receive information</w:t>
      </w:r>
    </w:p>
    <w:p w14:paraId="292F37A5" w14:textId="5AECDB47" w:rsidR="00A63265" w:rsidRDefault="00D94E1E" w:rsidP="00A63265">
      <w:r>
        <w:t>Freedom of expression under the Charter includes the right to ‘seek’ and ‘receive’ information.</w:t>
      </w:r>
      <w:r w:rsidR="005B1670">
        <w:t xml:space="preserve"> This can create a duty on government to provide information, when sought, that is in the public interest</w:t>
      </w:r>
      <w:r w:rsidR="00AB4DA2">
        <w:t xml:space="preserve"> or where the person seeking the information has a legitimate interest in the information.</w:t>
      </w:r>
      <w:r w:rsidR="00AB4DA2" w:rsidRPr="0091262D">
        <w:rPr>
          <w:rStyle w:val="FootnoteReference"/>
        </w:rPr>
        <w:footnoteReference w:id="110"/>
      </w:r>
      <w:r w:rsidR="0079069B">
        <w:t xml:space="preserve"> In practice, this right</w:t>
      </w:r>
      <w:r w:rsidR="008425EA">
        <w:t xml:space="preserve"> will often</w:t>
      </w:r>
      <w:r w:rsidR="002B02A8">
        <w:t xml:space="preserve"> </w:t>
      </w:r>
      <w:r w:rsidR="003F3D75">
        <w:t>operate separately to, but concurrent</w:t>
      </w:r>
      <w:r w:rsidR="00ED0CAA">
        <w:t>ly</w:t>
      </w:r>
      <w:r w:rsidR="003F3D75">
        <w:t xml:space="preserve"> with, an application under freedom of information laws.</w:t>
      </w:r>
      <w:r w:rsidR="003F3D75" w:rsidRPr="0091262D">
        <w:rPr>
          <w:rStyle w:val="FootnoteReference"/>
        </w:rPr>
        <w:footnoteReference w:id="111"/>
      </w:r>
      <w:r w:rsidR="00AF1054">
        <w:t xml:space="preserve"> </w:t>
      </w:r>
      <w:r w:rsidR="008425EA">
        <w:t xml:space="preserve">However, one example </w:t>
      </w:r>
      <w:r w:rsidR="00FE27EC">
        <w:t>outside freedom of information laws occurred where</w:t>
      </w:r>
      <w:r w:rsidR="003A5D65">
        <w:t xml:space="preserve"> corrections staff failed to give proper consideration to right to seek and receive information when they withheld books and correspondence to a prisoner.</w:t>
      </w:r>
      <w:r w:rsidR="003A5D65" w:rsidRPr="0091262D">
        <w:rPr>
          <w:rStyle w:val="FootnoteReference"/>
        </w:rPr>
        <w:footnoteReference w:id="112"/>
      </w:r>
      <w:r w:rsidR="001D7074" w:rsidRPr="004609E0">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A63265" w14:paraId="71D3D253" w14:textId="77777777" w:rsidTr="6D69D0D5">
        <w:tc>
          <w:tcPr>
            <w:tcW w:w="9060" w:type="dxa"/>
            <w:tcBorders>
              <w:top w:val="thickThinSmallGap" w:sz="24" w:space="0" w:color="201547"/>
              <w:bottom w:val="thickThinSmallGap" w:sz="24" w:space="0" w:color="201547"/>
            </w:tcBorders>
            <w:shd w:val="clear" w:color="auto" w:fill="F2F2F2" w:themeFill="background1" w:themeFillShade="F2"/>
          </w:tcPr>
          <w:p w14:paraId="137671B6" w14:textId="1CD0497A" w:rsidR="00A63265" w:rsidRDefault="00D83108" w:rsidP="00B146E3">
            <w:pPr>
              <w:rPr>
                <w:b/>
                <w:bCs/>
              </w:rPr>
            </w:pPr>
            <w:r>
              <w:rPr>
                <w:b/>
                <w:bCs/>
              </w:rPr>
              <w:t>Are our settings right for transparent information sharing?</w:t>
            </w:r>
          </w:p>
          <w:p w14:paraId="41F51282" w14:textId="50859E8F" w:rsidR="00A63265" w:rsidRPr="008C4A9E" w:rsidRDefault="001606AA" w:rsidP="00B146E3">
            <w:r>
              <w:t xml:space="preserve">Consistent with this right, Victorian freedom of information law aims to make </w:t>
            </w:r>
            <w:r w:rsidR="00C80E79">
              <w:t>government information and operations as transparent as possible.</w:t>
            </w:r>
            <w:r w:rsidR="00C80E79" w:rsidRPr="0091262D">
              <w:rPr>
                <w:rStyle w:val="FootnoteReference"/>
              </w:rPr>
              <w:footnoteReference w:id="113"/>
            </w:r>
            <w:r w:rsidR="00E864D6">
              <w:t xml:space="preserve"> </w:t>
            </w:r>
            <w:r w:rsidR="00C16449">
              <w:t>Information sharing can drive better performance across the sector.</w:t>
            </w:r>
            <w:r w:rsidR="003C05C9">
              <w:t xml:space="preserve"> You may ask how you can influence information sharing</w:t>
            </w:r>
            <w:r w:rsidR="00272D53">
              <w:t xml:space="preserve"> </w:t>
            </w:r>
            <w:r w:rsidR="00B25950">
              <w:t>processes in your work to drive better performance</w:t>
            </w:r>
            <w:r w:rsidR="002F0D3E">
              <w:t xml:space="preserve"> and promote the freedom of expression</w:t>
            </w:r>
            <w:r w:rsidR="00B25950">
              <w:t>.</w:t>
            </w:r>
          </w:p>
        </w:tc>
      </w:tr>
    </w:tbl>
    <w:p w14:paraId="1B976BAF" w14:textId="54763899" w:rsidR="007121BB" w:rsidRDefault="007121BB" w:rsidP="007121BB">
      <w:pPr>
        <w:pStyle w:val="Heading3-report"/>
      </w:pPr>
      <w:r>
        <w:t>When could this arise in your work?</w:t>
      </w:r>
    </w:p>
    <w:p w14:paraId="389617DF" w14:textId="6E94A49C" w:rsidR="007121BB" w:rsidRDefault="007121BB" w:rsidP="007121BB">
      <w:r>
        <w:t>There are a range of examples where the right to freedom of expression is engaged. These include:</w:t>
      </w:r>
    </w:p>
    <w:p w14:paraId="7128829E" w14:textId="4AC66345" w:rsidR="00847E3C" w:rsidRDefault="6D69D0D5" w:rsidP="00E225B4">
      <w:pPr>
        <w:pStyle w:val="ListParagraph"/>
        <w:numPr>
          <w:ilvl w:val="0"/>
          <w:numId w:val="44"/>
        </w:numPr>
      </w:pPr>
      <w:r>
        <w:t>ensuring that current and new mental health</w:t>
      </w:r>
      <w:r w:rsidR="0044072A">
        <w:t xml:space="preserve"> and wellbeing</w:t>
      </w:r>
      <w:r>
        <w:t xml:space="preserve"> services make information sharing processes with consumers timely and accessible</w:t>
      </w:r>
    </w:p>
    <w:p w14:paraId="120C6ABD" w14:textId="3367FD36" w:rsidR="00B5787E" w:rsidRDefault="00B5787E" w:rsidP="00E225B4">
      <w:pPr>
        <w:pStyle w:val="ListParagraph"/>
        <w:numPr>
          <w:ilvl w:val="0"/>
          <w:numId w:val="44"/>
        </w:numPr>
      </w:pPr>
      <w:r>
        <w:lastRenderedPageBreak/>
        <w:t>considering what policies and laws could limit stigmatising and vilifying statements against people with lived experience</w:t>
      </w:r>
    </w:p>
    <w:p w14:paraId="2A92EA58" w14:textId="2A838E7C" w:rsidR="00B5787E" w:rsidRDefault="00D62487" w:rsidP="00E225B4">
      <w:pPr>
        <w:pStyle w:val="ListParagraph"/>
        <w:numPr>
          <w:ilvl w:val="0"/>
          <w:numId w:val="44"/>
        </w:numPr>
      </w:pPr>
      <w:r>
        <w:t xml:space="preserve">prioritising </w:t>
      </w:r>
      <w:r w:rsidR="00602FF1">
        <w:t xml:space="preserve">the </w:t>
      </w:r>
      <w:r>
        <w:t>sharing of performance data of mental health services and other bodies</w:t>
      </w:r>
    </w:p>
    <w:p w14:paraId="714E5627" w14:textId="4E7D728F" w:rsidR="00D62487" w:rsidRPr="00847E3C" w:rsidRDefault="00602FF1" w:rsidP="00E225B4">
      <w:pPr>
        <w:pStyle w:val="ListParagraph"/>
        <w:numPr>
          <w:ilvl w:val="0"/>
          <w:numId w:val="44"/>
        </w:numPr>
      </w:pPr>
      <w:r>
        <w:t>considering what policies, laws and actions could limit any instances of victimisation should a consumer or family, carer or supporter speak out about adverse treatment.</w:t>
      </w:r>
    </w:p>
    <w:p w14:paraId="460EE633" w14:textId="22EDD0EE" w:rsidR="007121BB" w:rsidRPr="00847E3C" w:rsidRDefault="007121BB" w:rsidP="00847E3C"/>
    <w:p w14:paraId="6769CFB6" w14:textId="3B176E5E" w:rsidR="00652D56" w:rsidRPr="00A9204B" w:rsidRDefault="00652D56" w:rsidP="0051456A">
      <w:pPr>
        <w:pStyle w:val="ListParagraph"/>
      </w:pPr>
    </w:p>
    <w:p w14:paraId="39581400" w14:textId="77777777" w:rsidR="00B44470" w:rsidRDefault="00B44470">
      <w:pPr>
        <w:sectPr w:rsidR="00B44470" w:rsidSect="00271E88">
          <w:pgSz w:w="11906" w:h="16838"/>
          <w:pgMar w:top="1440" w:right="1418" w:bottom="1440" w:left="1418" w:header="708" w:footer="708" w:gutter="0"/>
          <w:cols w:space="708"/>
          <w:titlePg/>
          <w:docGrid w:linePitch="360"/>
        </w:sectPr>
      </w:pPr>
    </w:p>
    <w:p w14:paraId="4F95DBF5" w14:textId="7593B9C7" w:rsidR="000F132E" w:rsidRDefault="000F132E" w:rsidP="000F132E">
      <w:pPr>
        <w:pStyle w:val="Heading1-report"/>
        <w:spacing w:before="0"/>
      </w:pPr>
      <w:r>
        <w:rPr>
          <w:noProof/>
        </w:rPr>
        <w:lastRenderedPageBreak/>
        <mc:AlternateContent>
          <mc:Choice Requires="wps">
            <w:drawing>
              <wp:anchor distT="0" distB="0" distL="114300" distR="114300" simplePos="0" relativeHeight="251658270" behindDoc="1" locked="0" layoutInCell="1" allowOverlap="1" wp14:anchorId="01797010" wp14:editId="747A58F4">
                <wp:simplePos x="0" y="0"/>
                <wp:positionH relativeFrom="page">
                  <wp:align>left</wp:align>
                </wp:positionH>
                <wp:positionV relativeFrom="paragraph">
                  <wp:posOffset>-901811</wp:posOffset>
                </wp:positionV>
                <wp:extent cx="10693593" cy="7952874"/>
                <wp:effectExtent l="0" t="0" r="12700" b="10160"/>
                <wp:wrapNone/>
                <wp:docPr id="250" name="Rectangle 250"/>
                <wp:cNvGraphicFramePr/>
                <a:graphic xmlns:a="http://schemas.openxmlformats.org/drawingml/2006/main">
                  <a:graphicData uri="http://schemas.microsoft.com/office/word/2010/wordprocessingShape">
                    <wps:wsp>
                      <wps:cNvSpPr/>
                      <wps:spPr>
                        <a:xfrm>
                          <a:off x="0" y="0"/>
                          <a:ext cx="10693593" cy="7952874"/>
                        </a:xfrm>
                        <a:prstGeom prst="rect">
                          <a:avLst/>
                        </a:prstGeom>
                        <a:solidFill>
                          <a:srgbClr val="D0E8E9"/>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9EDD20" w14:textId="77777777" w:rsidR="000F132E" w:rsidRDefault="000F132E" w:rsidP="000F13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97010" id="Rectangle 250" o:spid="_x0000_s1042" style="position:absolute;margin-left:0;margin-top:-71pt;width:842pt;height:626.2pt;z-index:-25165821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" fillcolor="#d0e8e9" strokecolor="#1b383a [1604]" strokeweight="1pt">
                <v:textbox>
                  <w:txbxContent>
                    <w:p w14:paraId="1E9EDD20" w14:textId="77777777" w:rsidR="000F132E" w:rsidRDefault="000F132E" w:rsidP="000F132E">
                      <w:pPr>
                        <w:jc w:val="center"/>
                      </w:pPr>
                    </w:p>
                  </w:txbxContent>
                </v:textbox>
                <w10:wrap anchorx="page"/>
              </v:rect>
            </w:pict>
          </mc:Fallback>
        </mc:AlternateContent>
      </w:r>
      <w:r>
        <w:t>TAKE-HOMES: FREEDOM OF EXPRESSION</w:t>
      </w:r>
    </w:p>
    <w:tbl>
      <w:tblPr>
        <w:tblStyle w:val="TableGridLight"/>
        <w:tblW w:w="15446" w:type="dxa"/>
        <w:tblCellMar>
          <w:bottom w:w="284" w:type="dxa"/>
        </w:tblCellMar>
        <w:tblLook w:val="04A0" w:firstRow="1" w:lastRow="0" w:firstColumn="1" w:lastColumn="0" w:noHBand="0" w:noVBand="1"/>
      </w:tblPr>
      <w:tblGrid>
        <w:gridCol w:w="1056"/>
        <w:gridCol w:w="6085"/>
        <w:gridCol w:w="1056"/>
        <w:gridCol w:w="7249"/>
      </w:tblGrid>
      <w:tr w:rsidR="00EA5FB3" w14:paraId="04339E2A" w14:textId="77777777" w:rsidTr="6D69D0D5">
        <w:tc>
          <w:tcPr>
            <w:tcW w:w="1056" w:type="dxa"/>
          </w:tcPr>
          <w:p w14:paraId="43241CD9" w14:textId="1C10687F" w:rsidR="00EA5FB3" w:rsidRDefault="00EA5FB3" w:rsidP="00EA5FB3">
            <w:r>
              <w:rPr>
                <w:noProof/>
              </w:rPr>
              <w:drawing>
                <wp:inline distT="0" distB="0" distL="0" distR="0" wp14:anchorId="3C859A17" wp14:editId="6C7548E8">
                  <wp:extent cx="526774" cy="526774"/>
                  <wp:effectExtent l="0" t="0" r="6985" b="6985"/>
                  <wp:docPr id="252" name="Graphic 252"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6085" w:type="dxa"/>
          </w:tcPr>
          <w:p w14:paraId="6A7AE357" w14:textId="77777777" w:rsidR="00EA5FB3" w:rsidRDefault="00EA5FB3" w:rsidP="00EA5FB3">
            <w:pPr>
              <w:pStyle w:val="Heading3-report"/>
            </w:pPr>
            <w:r>
              <w:t>Ensure that services enable easy and timely access to a person’s healthcare information</w:t>
            </w:r>
          </w:p>
          <w:p w14:paraId="77DB79D7" w14:textId="07707293" w:rsidR="00EA5FB3" w:rsidRPr="006F6EC8" w:rsidRDefault="00EA5FB3" w:rsidP="00EA5FB3">
            <w:r>
              <w:t>All consumers should have access to information about their mental health care. However, the process of accessing this information can be difficult and slow, meaning information is not given in a timely fashion that informs treatment. Work with services may be needed to ensure that consumers have this right adequately observed.</w:t>
            </w:r>
          </w:p>
        </w:tc>
        <w:tc>
          <w:tcPr>
            <w:tcW w:w="1056" w:type="dxa"/>
          </w:tcPr>
          <w:p w14:paraId="39DE12B5" w14:textId="7EC012B9" w:rsidR="00EA5FB3" w:rsidRDefault="00EA5FB3" w:rsidP="00EA5FB3">
            <w:r>
              <w:rPr>
                <w:noProof/>
              </w:rPr>
              <w:drawing>
                <wp:inline distT="0" distB="0" distL="0" distR="0" wp14:anchorId="299B4AC1" wp14:editId="458F9838">
                  <wp:extent cx="530705" cy="530705"/>
                  <wp:effectExtent l="0" t="0" r="3175" b="3175"/>
                  <wp:docPr id="253" name="Graphic 253" descr="Badge Cro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Badge Cross with solid fill"/>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30705" cy="530705"/>
                          </a:xfrm>
                          <a:prstGeom prst="rect">
                            <a:avLst/>
                          </a:prstGeom>
                        </pic:spPr>
                      </pic:pic>
                    </a:graphicData>
                  </a:graphic>
                </wp:inline>
              </w:drawing>
            </w:r>
          </w:p>
        </w:tc>
        <w:tc>
          <w:tcPr>
            <w:tcW w:w="7249" w:type="dxa"/>
          </w:tcPr>
          <w:p w14:paraId="30CF6879" w14:textId="77777777" w:rsidR="00EA5FB3" w:rsidRDefault="00EA5FB3" w:rsidP="00EA5FB3">
            <w:pPr>
              <w:pStyle w:val="Heading3-report"/>
            </w:pPr>
            <w:r>
              <w:t>Don’t allow victimisation of mental health consumers for speaking up</w:t>
            </w:r>
          </w:p>
          <w:p w14:paraId="3A059BB7" w14:textId="1FE7B26A" w:rsidR="00EA5FB3" w:rsidRPr="00861362" w:rsidRDefault="00EA5FB3" w:rsidP="00EA5FB3">
            <w:r>
              <w:t>One of the authors of this guide is aware of numerous examples of victimisation when mental health consumers raise concerns about their treatment – either formally through regulators or publicly through social media. Notwithstanding other legal issues such as defamation, consumers should not fear victimisation or any negative consequences arising from raising concerns about their treatment. Clear expectations should be provided, either from the Division or from the Mental Health and Wellbeing Commission, about victimisation that may unjustifiably limit someone’s right to freedom of expression.</w:t>
            </w:r>
          </w:p>
        </w:tc>
      </w:tr>
      <w:tr w:rsidR="00EA5FB3" w14:paraId="2559CF7B" w14:textId="77777777" w:rsidTr="6D69D0D5">
        <w:tc>
          <w:tcPr>
            <w:tcW w:w="1056" w:type="dxa"/>
            <w:shd w:val="clear" w:color="auto" w:fill="auto"/>
          </w:tcPr>
          <w:p w14:paraId="4B476D33" w14:textId="72C494C5" w:rsidR="00EA5FB3" w:rsidRDefault="00EA5FB3" w:rsidP="00EA5FB3">
            <w:r>
              <w:rPr>
                <w:noProof/>
              </w:rPr>
              <w:drawing>
                <wp:inline distT="0" distB="0" distL="0" distR="0" wp14:anchorId="7A8C2E31" wp14:editId="6ED50BE7">
                  <wp:extent cx="526774" cy="526774"/>
                  <wp:effectExtent l="0" t="0" r="6985" b="6985"/>
                  <wp:docPr id="254" name="Graphic 254"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6085" w:type="dxa"/>
          </w:tcPr>
          <w:p w14:paraId="7E3691BA" w14:textId="549023BE" w:rsidR="00EA5FB3" w:rsidRDefault="00EA5FB3" w:rsidP="00EA5FB3">
            <w:pPr>
              <w:pStyle w:val="Heading3-report"/>
            </w:pPr>
            <w:r>
              <w:t xml:space="preserve">Ensure that timely mental health performance data is released </w:t>
            </w:r>
          </w:p>
          <w:p w14:paraId="279A2E21" w14:textId="2871AFE2" w:rsidR="00EA5FB3" w:rsidRPr="008274CA" w:rsidRDefault="00EA5FB3" w:rsidP="00EA5FB3">
            <w:r>
              <w:t>Transparent release of service performance data was part of the Royal Commission’s recommendations for an improved mental health and wellbeing system. It also promotes the right to receive information under the Charter. Wherever possible, performance data on mental health services should be released.</w:t>
            </w:r>
          </w:p>
        </w:tc>
        <w:tc>
          <w:tcPr>
            <w:tcW w:w="1056" w:type="dxa"/>
          </w:tcPr>
          <w:p w14:paraId="60E87A2F" w14:textId="27D3C579" w:rsidR="00EA5FB3" w:rsidRDefault="00EA5FB3" w:rsidP="00EA5FB3"/>
        </w:tc>
        <w:tc>
          <w:tcPr>
            <w:tcW w:w="7249" w:type="dxa"/>
          </w:tcPr>
          <w:p w14:paraId="51A440E1" w14:textId="6D1DB5C9" w:rsidR="00EA5FB3" w:rsidRPr="00796694" w:rsidRDefault="00EA5FB3" w:rsidP="00EA5FB3"/>
        </w:tc>
      </w:tr>
    </w:tbl>
    <w:p w14:paraId="03041D8B" w14:textId="77777777" w:rsidR="00B44470" w:rsidRDefault="00B44470">
      <w:pPr>
        <w:sectPr w:rsidR="00B44470" w:rsidSect="000F132E">
          <w:pgSz w:w="16838" w:h="11906" w:orient="landscape"/>
          <w:pgMar w:top="720" w:right="720" w:bottom="720" w:left="720" w:header="708" w:footer="708" w:gutter="0"/>
          <w:cols w:space="708"/>
          <w:titlePg/>
          <w:docGrid w:linePitch="360"/>
        </w:sectPr>
      </w:pPr>
    </w:p>
    <w:p w14:paraId="60E0F33F" w14:textId="39883392" w:rsidR="00A9204B" w:rsidRDefault="006619C1" w:rsidP="00676E40">
      <w:pPr>
        <w:pStyle w:val="Heading1-report"/>
        <w:spacing w:before="0"/>
        <w:ind w:left="1440"/>
      </w:pPr>
      <w:r>
        <w:rPr>
          <w:noProof/>
        </w:rPr>
        <w:lastRenderedPageBreak/>
        <mc:AlternateContent>
          <mc:Choice Requires="wps">
            <w:drawing>
              <wp:anchor distT="45720" distB="45720" distL="114300" distR="114300" simplePos="0" relativeHeight="251658296" behindDoc="0" locked="0" layoutInCell="1" allowOverlap="1" wp14:anchorId="76CA6CDA" wp14:editId="2FBF07EC">
                <wp:simplePos x="0" y="0"/>
                <wp:positionH relativeFrom="margin">
                  <wp:posOffset>-12065</wp:posOffset>
                </wp:positionH>
                <wp:positionV relativeFrom="paragraph">
                  <wp:posOffset>855922</wp:posOffset>
                </wp:positionV>
                <wp:extent cx="5753735" cy="1404620"/>
                <wp:effectExtent l="0" t="0" r="18415" b="18415"/>
                <wp:wrapSquare wrapText="bothSides"/>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1404620"/>
                        </a:xfrm>
                        <a:prstGeom prst="rect">
                          <a:avLst/>
                        </a:prstGeom>
                        <a:solidFill>
                          <a:srgbClr val="201547"/>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5460C38A" w14:textId="77777777" w:rsidR="006619C1" w:rsidRPr="006619C1" w:rsidRDefault="006619C1" w:rsidP="006619C1">
                            <w:pPr>
                              <w:pStyle w:val="Heading3-report"/>
                              <w:rPr>
                                <w:color w:val="FFFFFF" w:themeColor="background1"/>
                              </w:rPr>
                            </w:pPr>
                            <w:r w:rsidRPr="006619C1">
                              <w:rPr>
                                <w:color w:val="FFFFFF" w:themeColor="background1"/>
                              </w:rPr>
                              <w:t>Section 16 Peaceful assembly and freedom of association</w:t>
                            </w:r>
                          </w:p>
                          <w:p w14:paraId="1E73C482" w14:textId="77777777" w:rsidR="006619C1" w:rsidRPr="006619C1" w:rsidRDefault="006619C1" w:rsidP="00E225B4">
                            <w:pPr>
                              <w:pStyle w:val="ListParagraph"/>
                              <w:numPr>
                                <w:ilvl w:val="0"/>
                                <w:numId w:val="18"/>
                              </w:numPr>
                              <w:rPr>
                                <w:color w:val="FFFFFF" w:themeColor="background1"/>
                              </w:rPr>
                            </w:pPr>
                            <w:r w:rsidRPr="006619C1">
                              <w:rPr>
                                <w:color w:val="FFFFFF" w:themeColor="background1"/>
                              </w:rPr>
                              <w:t>Every person has the right of peaceful assembly.</w:t>
                            </w:r>
                          </w:p>
                          <w:p w14:paraId="3DFE959C" w14:textId="6BEA816B" w:rsidR="006619C1" w:rsidRPr="006619C1" w:rsidRDefault="006619C1" w:rsidP="00E225B4">
                            <w:pPr>
                              <w:pStyle w:val="ListParagraph"/>
                              <w:numPr>
                                <w:ilvl w:val="0"/>
                                <w:numId w:val="18"/>
                              </w:numPr>
                              <w:rPr>
                                <w:color w:val="FFFFFF" w:themeColor="background1"/>
                              </w:rPr>
                            </w:pPr>
                            <w:r w:rsidRPr="006619C1">
                              <w:rPr>
                                <w:color w:val="FFFFFF" w:themeColor="background1"/>
                              </w:rPr>
                              <w:t>Every person has the right to freedom of association with others, including the right to form and join trade unions.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CA6CDA" id="Text Box 249" o:spid="_x0000_s1043" type="#_x0000_t202" style="position:absolute;left:0;text-align:left;margin-left:-.95pt;margin-top:67.4pt;width:453.05pt;height:110.6pt;z-index:251658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" fillcolor="#201547" strokecolor="#1b383a [1604]" strokeweight="1pt">
                <v:textbox style="mso-fit-shape-to-text:t">
                  <w:txbxContent>
                    <w:p w14:paraId="5460C38A" w14:textId="77777777" w:rsidR="006619C1" w:rsidRPr="006619C1" w:rsidRDefault="006619C1" w:rsidP="006619C1">
                      <w:pPr>
                        <w:pStyle w:val="Heading3-report"/>
                        <w:rPr>
                          <w:color w:val="FFFFFF" w:themeColor="background1"/>
                        </w:rPr>
                      </w:pPr>
                      <w:r w:rsidRPr="006619C1">
                        <w:rPr>
                          <w:color w:val="FFFFFF" w:themeColor="background1"/>
                        </w:rPr>
                        <w:t>Section 16 Peaceful assembly and freedom of association</w:t>
                      </w:r>
                    </w:p>
                    <w:p w14:paraId="1E73C482" w14:textId="77777777" w:rsidR="006619C1" w:rsidRPr="006619C1" w:rsidRDefault="006619C1" w:rsidP="00E225B4">
                      <w:pPr>
                        <w:pStyle w:val="ListParagraph"/>
                        <w:numPr>
                          <w:ilvl w:val="0"/>
                          <w:numId w:val="18"/>
                        </w:numPr>
                        <w:rPr>
                          <w:color w:val="FFFFFF" w:themeColor="background1"/>
                        </w:rPr>
                      </w:pPr>
                      <w:r w:rsidRPr="006619C1">
                        <w:rPr>
                          <w:color w:val="FFFFFF" w:themeColor="background1"/>
                        </w:rPr>
                        <w:t>Every person has the right of peaceful assembly.</w:t>
                      </w:r>
                    </w:p>
                    <w:p w14:paraId="3DFE959C" w14:textId="6BEA816B" w:rsidR="006619C1" w:rsidRPr="006619C1" w:rsidRDefault="006619C1" w:rsidP="00E225B4">
                      <w:pPr>
                        <w:pStyle w:val="ListParagraph"/>
                        <w:numPr>
                          <w:ilvl w:val="0"/>
                          <w:numId w:val="18"/>
                        </w:numPr>
                        <w:rPr>
                          <w:color w:val="FFFFFF" w:themeColor="background1"/>
                        </w:rPr>
                      </w:pPr>
                      <w:r w:rsidRPr="006619C1">
                        <w:rPr>
                          <w:color w:val="FFFFFF" w:themeColor="background1"/>
                        </w:rPr>
                        <w:t>Every person has the right to freedom of association with others, including the right to form and join trade unions.</w:t>
                      </w:r>
                    </w:p>
                  </w:txbxContent>
                </v:textbox>
                <w10:wrap type="square" anchorx="margin"/>
              </v:shape>
            </w:pict>
          </mc:Fallback>
        </mc:AlternateContent>
      </w:r>
      <w:r w:rsidR="00CD2A61">
        <w:rPr>
          <w:noProof/>
        </w:rPr>
        <w:drawing>
          <wp:anchor distT="0" distB="0" distL="114300" distR="114300" simplePos="0" relativeHeight="251658280" behindDoc="0" locked="0" layoutInCell="1" allowOverlap="1" wp14:anchorId="69706DB9" wp14:editId="0849CBFA">
            <wp:simplePos x="0" y="0"/>
            <wp:positionH relativeFrom="margin">
              <wp:align>left</wp:align>
            </wp:positionH>
            <wp:positionV relativeFrom="paragraph">
              <wp:posOffset>0</wp:posOffset>
            </wp:positionV>
            <wp:extent cx="680357" cy="680357"/>
            <wp:effectExtent l="0" t="0" r="5715" b="5715"/>
            <wp:wrapNone/>
            <wp:docPr id="210" name="Picture 210" descr="People meeting with speech bubb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descr="People meeting with speech bubble above"/>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82558" cy="6825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04B">
        <w:t>Peaceful assembly and freedom of association (section 16)</w:t>
      </w:r>
    </w:p>
    <w:p w14:paraId="67B78950" w14:textId="6F56D5BF" w:rsidR="008D15FB" w:rsidRDefault="00594378" w:rsidP="006619C1">
      <w:pPr>
        <w:pStyle w:val="BoldedRightsIntro"/>
      </w:pPr>
      <w:r w:rsidRPr="006619C1">
        <w:t xml:space="preserve">Democracies rely on more than </w:t>
      </w:r>
      <w:r w:rsidR="00547B06" w:rsidRPr="006619C1">
        <w:t xml:space="preserve">just </w:t>
      </w:r>
      <w:r w:rsidRPr="006619C1">
        <w:t>elections. The</w:t>
      </w:r>
      <w:r w:rsidR="00547B06" w:rsidRPr="006619C1">
        <w:t>y are animated by civic engagement in political discourse, which itself relies on the right to peaceful assembly and freedom of association. T</w:t>
      </w:r>
      <w:r w:rsidR="00A74657" w:rsidRPr="006619C1">
        <w:t>his right was</w:t>
      </w:r>
      <w:r w:rsidR="0093399E" w:rsidRPr="006619C1">
        <w:t xml:space="preserve"> severely violated within Soviet psychiatry, which </w:t>
      </w:r>
      <w:r w:rsidR="00D001D0" w:rsidRPr="006619C1">
        <w:t xml:space="preserve">as an instrument of the state, </w:t>
      </w:r>
      <w:r w:rsidR="0093399E" w:rsidRPr="006619C1">
        <w:t>transformed political dissidents into mental health patients for the purposes of social control.</w:t>
      </w:r>
      <w:r w:rsidR="00AD193C" w:rsidRPr="0091262D">
        <w:rPr>
          <w:rStyle w:val="FootnoteReference"/>
        </w:rPr>
        <w:footnoteReference w:id="114"/>
      </w:r>
    </w:p>
    <w:p w14:paraId="6934DACE" w14:textId="1842789C" w:rsidR="00211CBF" w:rsidRDefault="0072036D" w:rsidP="0072036D">
      <w:pPr>
        <w:pStyle w:val="Heading3-report"/>
      </w:pPr>
      <w:r>
        <w:t>The right to peaceful assembly</w:t>
      </w:r>
    </w:p>
    <w:p w14:paraId="69A7D685" w14:textId="34738A83" w:rsidR="0072036D" w:rsidRPr="008A3E1F" w:rsidRDefault="008A07D4" w:rsidP="0072036D">
      <w:r>
        <w:t>To</w:t>
      </w:r>
      <w:r w:rsidR="00090647">
        <w:t xml:space="preserve"> engage with, and communicate about, </w:t>
      </w:r>
      <w:r w:rsidR="00E60AC6">
        <w:t>political,</w:t>
      </w:r>
      <w:r w:rsidR="00090647">
        <w:t xml:space="preserve"> and other civic matters, people often come together in one place. </w:t>
      </w:r>
      <w:r w:rsidR="003E7E17">
        <w:t xml:space="preserve">Sometimes </w:t>
      </w:r>
      <w:r w:rsidR="00090647">
        <w:t xml:space="preserve">this forms a protest. </w:t>
      </w:r>
      <w:r w:rsidR="00155376">
        <w:t>The right to freedom of assembly protects this right to protest,</w:t>
      </w:r>
      <w:r w:rsidR="00817202" w:rsidRPr="0091262D">
        <w:rPr>
          <w:rStyle w:val="FootnoteReference"/>
        </w:rPr>
        <w:footnoteReference w:id="115"/>
      </w:r>
      <w:r w:rsidR="00155376">
        <w:t xml:space="preserve"> but it is subject to several conditions and limitations.</w:t>
      </w:r>
      <w:r w:rsidR="00DE1371">
        <w:t xml:space="preserve"> Peaceful assemblies should be just that: peaceful. The</w:t>
      </w:r>
      <w:r w:rsidR="005A28A0">
        <w:t xml:space="preserve">refore </w:t>
      </w:r>
      <w:r w:rsidR="00B434C1">
        <w:t xml:space="preserve">protest-limiting actions by police may be </w:t>
      </w:r>
      <w:r w:rsidR="00DA67BB">
        <w:t>protected if they were necessary to protect against a breach of the peace, and there were no less restrictive options to do so.</w:t>
      </w:r>
      <w:r w:rsidR="00DA67BB" w:rsidRPr="0091262D">
        <w:rPr>
          <w:rStyle w:val="FootnoteReference"/>
        </w:rPr>
        <w:footnoteReference w:id="116"/>
      </w:r>
      <w:r w:rsidR="00EC74E3">
        <w:t xml:space="preserve"> However, this right ma</w:t>
      </w:r>
      <w:r w:rsidR="008A3E1F">
        <w:t xml:space="preserve">y generate a positive duty on police or the relevant authorities to </w:t>
      </w:r>
      <w:r w:rsidR="008A3E1F" w:rsidRPr="6D69D0D5">
        <w:rPr>
          <w:i/>
          <w:iCs/>
        </w:rPr>
        <w:t>protect protestors</w:t>
      </w:r>
      <w:r w:rsidR="008A3E1F">
        <w:t xml:space="preserve">, such as from violence from </w:t>
      </w:r>
      <w:r w:rsidR="000B6076">
        <w:t>their opponents, during protests.</w:t>
      </w:r>
      <w:r w:rsidR="000B6076" w:rsidRPr="0091262D">
        <w:rPr>
          <w:rStyle w:val="FootnoteReference"/>
        </w:rPr>
        <w:footnoteReference w:id="117"/>
      </w:r>
      <w:r w:rsidR="00B55370">
        <w:t xml:space="preserve"> It can also </w:t>
      </w:r>
      <w:r w:rsidR="00F041B1">
        <w:t>be limited by surveillance activities by authorities on protestors, with mixed Australian and international case law.</w:t>
      </w:r>
      <w:r w:rsidR="00F041B1" w:rsidRPr="0091262D">
        <w:rPr>
          <w:rStyle w:val="FootnoteReference"/>
        </w:rPr>
        <w:footnoteReference w:id="118"/>
      </w:r>
    </w:p>
    <w:p w14:paraId="4DB93061" w14:textId="77777777" w:rsidR="00D203F3" w:rsidRDefault="003F295C" w:rsidP="003F295C">
      <w:pPr>
        <w:pStyle w:val="Heading3-report"/>
      </w:pPr>
      <w:r>
        <w:t>The right to freedom of association</w:t>
      </w:r>
    </w:p>
    <w:p w14:paraId="6A860908" w14:textId="4E2A9DF6" w:rsidR="00D001D0" w:rsidRDefault="002E1EA8" w:rsidP="00D203F3">
      <w:pPr>
        <w:sectPr w:rsidR="00D001D0" w:rsidSect="00271E88">
          <w:pgSz w:w="11906" w:h="16838"/>
          <w:pgMar w:top="1440" w:right="1418" w:bottom="1440" w:left="1418" w:header="708" w:footer="708" w:gutter="0"/>
          <w:cols w:space="708"/>
          <w:titlePg/>
          <w:docGrid w:linePitch="360"/>
        </w:sectPr>
      </w:pPr>
      <w:r>
        <w:t xml:space="preserve">Being able to freely associate with other groups is equally important to a thriving civil society and democracy. </w:t>
      </w:r>
      <w:r w:rsidR="004D5000">
        <w:t xml:space="preserve">Section 16(2) protects this right, including the right </w:t>
      </w:r>
      <w:r w:rsidR="004D5000" w:rsidRPr="6D69D0D5">
        <w:rPr>
          <w:i/>
          <w:iCs/>
        </w:rPr>
        <w:t xml:space="preserve">not </w:t>
      </w:r>
      <w:r w:rsidR="004D5000">
        <w:t>to join particular groups.</w:t>
      </w:r>
      <w:r w:rsidR="004D5000" w:rsidRPr="0091262D">
        <w:rPr>
          <w:rStyle w:val="FootnoteReference"/>
        </w:rPr>
        <w:footnoteReference w:id="119"/>
      </w:r>
      <w:r w:rsidR="000A2499">
        <w:t xml:space="preserve"> Examples of the right being </w:t>
      </w:r>
      <w:r w:rsidR="004223A2">
        <w:t>engaged are</w:t>
      </w:r>
      <w:r w:rsidR="000A2499">
        <w:t xml:space="preserve"> laws that restricted workers from joining </w:t>
      </w:r>
      <w:r w:rsidR="000A2499">
        <w:lastRenderedPageBreak/>
        <w:t>unions</w:t>
      </w:r>
      <w:r w:rsidR="000F2370">
        <w:t xml:space="preserve"> or </w:t>
      </w:r>
      <w:r w:rsidR="00E65AE8">
        <w:t xml:space="preserve">where </w:t>
      </w:r>
      <w:r w:rsidR="000F2370">
        <w:t>collective bargaining</w:t>
      </w:r>
      <w:r w:rsidR="00C74CBE">
        <w:t xml:space="preserve"> w</w:t>
      </w:r>
      <w:r w:rsidR="00E65AE8">
        <w:t>as</w:t>
      </w:r>
      <w:r w:rsidR="00C74CBE">
        <w:t xml:space="preserve"> held to be an interference with this right and unconstitutional (in Canada).</w:t>
      </w:r>
      <w:r w:rsidR="000A2499" w:rsidRPr="0091262D">
        <w:rPr>
          <w:rStyle w:val="FootnoteReference"/>
        </w:rPr>
        <w:footnoteReference w:id="120"/>
      </w:r>
    </w:p>
    <w:p w14:paraId="7F2A1D7F" w14:textId="7D7118A8" w:rsidR="00905248" w:rsidRDefault="00905248" w:rsidP="00905248">
      <w:pPr>
        <w:pStyle w:val="Heading1-report"/>
        <w:spacing w:before="0"/>
      </w:pPr>
      <w:r>
        <w:rPr>
          <w:noProof/>
        </w:rPr>
        <w:lastRenderedPageBreak/>
        <mc:AlternateContent>
          <mc:Choice Requires="wps">
            <w:drawing>
              <wp:anchor distT="0" distB="0" distL="114300" distR="114300" simplePos="0" relativeHeight="251658272" behindDoc="1" locked="0" layoutInCell="1" allowOverlap="1" wp14:anchorId="7D1F44BF" wp14:editId="14B37DC2">
                <wp:simplePos x="0" y="0"/>
                <wp:positionH relativeFrom="page">
                  <wp:align>left</wp:align>
                </wp:positionH>
                <wp:positionV relativeFrom="paragraph">
                  <wp:posOffset>-901811</wp:posOffset>
                </wp:positionV>
                <wp:extent cx="10693593" cy="7952874"/>
                <wp:effectExtent l="0" t="0" r="12700" b="10160"/>
                <wp:wrapNone/>
                <wp:docPr id="262" name="Rectangle 262"/>
                <wp:cNvGraphicFramePr/>
                <a:graphic xmlns:a="http://schemas.openxmlformats.org/drawingml/2006/main">
                  <a:graphicData uri="http://schemas.microsoft.com/office/word/2010/wordprocessingShape">
                    <wps:wsp>
                      <wps:cNvSpPr/>
                      <wps:spPr>
                        <a:xfrm>
                          <a:off x="0" y="0"/>
                          <a:ext cx="10693593" cy="7952874"/>
                        </a:xfrm>
                        <a:prstGeom prst="rect">
                          <a:avLst/>
                        </a:prstGeom>
                        <a:solidFill>
                          <a:srgbClr val="D0E8E9"/>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723A0E" w14:textId="77777777" w:rsidR="00905248" w:rsidRDefault="00905248" w:rsidP="009052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F44BF" id="Rectangle 262" o:spid="_x0000_s1044" style="position:absolute;margin-left:0;margin-top:-71pt;width:842pt;height:626.2pt;z-index:-2516582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" fillcolor="#d0e8e9" strokecolor="#1b383a [1604]" strokeweight="1pt">
                <v:textbox>
                  <w:txbxContent>
                    <w:p w14:paraId="7E723A0E" w14:textId="77777777" w:rsidR="00905248" w:rsidRDefault="00905248" w:rsidP="00905248">
                      <w:pPr>
                        <w:jc w:val="center"/>
                      </w:pPr>
                    </w:p>
                  </w:txbxContent>
                </v:textbox>
                <w10:wrap anchorx="page"/>
              </v:rect>
            </w:pict>
          </mc:Fallback>
        </mc:AlternateContent>
      </w:r>
      <w:r>
        <w:t xml:space="preserve">TAKE-HOMES: </w:t>
      </w:r>
      <w:r w:rsidR="00360DA6">
        <w:t>PEAC</w:t>
      </w:r>
      <w:r w:rsidR="008B5657">
        <w:t>E</w:t>
      </w:r>
      <w:r w:rsidR="00360DA6">
        <w:t>FUL ASSEMBLY AND FREEDOM OF ASSOCIATION</w:t>
      </w:r>
    </w:p>
    <w:tbl>
      <w:tblPr>
        <w:tblStyle w:val="TableGridLight"/>
        <w:tblW w:w="15446" w:type="dxa"/>
        <w:tblCellMar>
          <w:bottom w:w="284" w:type="dxa"/>
        </w:tblCellMar>
        <w:tblLook w:val="04A0" w:firstRow="1" w:lastRow="0" w:firstColumn="1" w:lastColumn="0" w:noHBand="0" w:noVBand="1"/>
      </w:tblPr>
      <w:tblGrid>
        <w:gridCol w:w="1056"/>
        <w:gridCol w:w="6085"/>
        <w:gridCol w:w="1056"/>
        <w:gridCol w:w="7249"/>
      </w:tblGrid>
      <w:tr w:rsidR="00905248" w14:paraId="093EB395" w14:textId="77777777" w:rsidTr="004F4360">
        <w:tc>
          <w:tcPr>
            <w:tcW w:w="1056" w:type="dxa"/>
          </w:tcPr>
          <w:p w14:paraId="0DBA9F6E" w14:textId="77777777" w:rsidR="00905248" w:rsidRDefault="00905248" w:rsidP="004F4360">
            <w:r>
              <w:rPr>
                <w:noProof/>
              </w:rPr>
              <w:drawing>
                <wp:inline distT="0" distB="0" distL="0" distR="0" wp14:anchorId="320A82BB" wp14:editId="58460012">
                  <wp:extent cx="526774" cy="526774"/>
                  <wp:effectExtent l="0" t="0" r="6985" b="6985"/>
                  <wp:docPr id="263" name="Graphic 263"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6085" w:type="dxa"/>
          </w:tcPr>
          <w:p w14:paraId="5639F5B5" w14:textId="31137B82" w:rsidR="00651890" w:rsidRDefault="00651890" w:rsidP="00651890">
            <w:pPr>
              <w:pStyle w:val="Heading3-report"/>
            </w:pPr>
            <w:r>
              <w:t>Provide guidance on worker membership rights</w:t>
            </w:r>
          </w:p>
          <w:p w14:paraId="793F887F" w14:textId="75D9D032" w:rsidR="00905248" w:rsidRPr="006F6EC8" w:rsidRDefault="00651890" w:rsidP="00651890">
            <w:r>
              <w:t>Worker’s rights to peaceful assembly and freedom of association may be exercised through membership with some organisations. For example, they may be exercised through membership with a union or a consumer or carer peak body. There may be value in advising mental health services on the appropriateness of any limitations on these rights should issues arise.</w:t>
            </w:r>
          </w:p>
        </w:tc>
        <w:tc>
          <w:tcPr>
            <w:tcW w:w="1056" w:type="dxa"/>
          </w:tcPr>
          <w:p w14:paraId="15645A50" w14:textId="75ACFDF7" w:rsidR="00905248" w:rsidRDefault="00905248" w:rsidP="004F4360"/>
        </w:tc>
        <w:tc>
          <w:tcPr>
            <w:tcW w:w="7249" w:type="dxa"/>
          </w:tcPr>
          <w:p w14:paraId="27AF4033" w14:textId="1D54B895" w:rsidR="00905248" w:rsidRPr="00861362" w:rsidRDefault="00905248" w:rsidP="004F4360"/>
        </w:tc>
      </w:tr>
    </w:tbl>
    <w:p w14:paraId="3315788F" w14:textId="77777777" w:rsidR="00572425" w:rsidRDefault="00572425" w:rsidP="00D203F3">
      <w:pPr>
        <w:sectPr w:rsidR="00572425" w:rsidSect="00572425">
          <w:pgSz w:w="16838" w:h="11906" w:orient="landscape"/>
          <w:pgMar w:top="720" w:right="720" w:bottom="720" w:left="720" w:header="708" w:footer="708" w:gutter="0"/>
          <w:cols w:space="708"/>
          <w:titlePg/>
          <w:docGrid w:linePitch="360"/>
        </w:sectPr>
      </w:pPr>
    </w:p>
    <w:p w14:paraId="1F0CFBA4" w14:textId="26BD3198" w:rsidR="00A9204B" w:rsidRDefault="00676E40" w:rsidP="00676E40">
      <w:pPr>
        <w:pStyle w:val="Heading1-report"/>
        <w:ind w:left="1440"/>
      </w:pPr>
      <w:r>
        <w:rPr>
          <w:noProof/>
        </w:rPr>
        <w:lastRenderedPageBreak/>
        <mc:AlternateContent>
          <mc:Choice Requires="wps">
            <w:drawing>
              <wp:anchor distT="45720" distB="45720" distL="114300" distR="114300" simplePos="0" relativeHeight="251658297" behindDoc="0" locked="0" layoutInCell="1" allowOverlap="1" wp14:anchorId="5768BEE3" wp14:editId="4E9FA8DF">
                <wp:simplePos x="0" y="0"/>
                <wp:positionH relativeFrom="margin">
                  <wp:posOffset>-12700</wp:posOffset>
                </wp:positionH>
                <wp:positionV relativeFrom="paragraph">
                  <wp:posOffset>1023562</wp:posOffset>
                </wp:positionV>
                <wp:extent cx="5753735" cy="1404620"/>
                <wp:effectExtent l="0" t="0" r="18415" b="26670"/>
                <wp:wrapSquare wrapText="bothSides"/>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1404620"/>
                        </a:xfrm>
                        <a:prstGeom prst="rect">
                          <a:avLst/>
                        </a:prstGeom>
                        <a:solidFill>
                          <a:srgbClr val="201547"/>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7EDC647A" w14:textId="77777777" w:rsidR="006619C1" w:rsidRPr="006619C1" w:rsidRDefault="006619C1" w:rsidP="006619C1">
                            <w:pPr>
                              <w:pStyle w:val="Heading3-report"/>
                              <w:rPr>
                                <w:color w:val="FFFFFF" w:themeColor="background1"/>
                              </w:rPr>
                            </w:pPr>
                            <w:r w:rsidRPr="006619C1">
                              <w:rPr>
                                <w:color w:val="FFFFFF" w:themeColor="background1"/>
                              </w:rPr>
                              <w:t>Section 17 Protection of families and children</w:t>
                            </w:r>
                          </w:p>
                          <w:p w14:paraId="7211EF0F" w14:textId="77777777" w:rsidR="006619C1" w:rsidRPr="006619C1" w:rsidRDefault="006619C1" w:rsidP="00E225B4">
                            <w:pPr>
                              <w:pStyle w:val="ListParagraph"/>
                              <w:numPr>
                                <w:ilvl w:val="0"/>
                                <w:numId w:val="19"/>
                              </w:numPr>
                              <w:rPr>
                                <w:color w:val="FFFFFF" w:themeColor="background1"/>
                              </w:rPr>
                            </w:pPr>
                            <w:r w:rsidRPr="006619C1">
                              <w:rPr>
                                <w:color w:val="FFFFFF" w:themeColor="background1"/>
                              </w:rPr>
                              <w:t>Families are the fundamental group unit of society and are entitled to be protected by society and the state.</w:t>
                            </w:r>
                          </w:p>
                          <w:p w14:paraId="6B88ABA0" w14:textId="494EE0C6" w:rsidR="006619C1" w:rsidRPr="006619C1" w:rsidRDefault="006619C1" w:rsidP="00E225B4">
                            <w:pPr>
                              <w:pStyle w:val="ListParagraph"/>
                              <w:numPr>
                                <w:ilvl w:val="0"/>
                                <w:numId w:val="19"/>
                              </w:numPr>
                              <w:rPr>
                                <w:color w:val="FFFFFF" w:themeColor="background1"/>
                              </w:rPr>
                            </w:pPr>
                            <w:r w:rsidRPr="006619C1">
                              <w:rPr>
                                <w:color w:val="FFFFFF" w:themeColor="background1"/>
                              </w:rPr>
                              <w:t>Every child has the right, without discrimination, to such protection as is in the child’s best interests and is needed by the child by reason of being a 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68BEE3" id="Text Box 257" o:spid="_x0000_s1045" type="#_x0000_t202" style="position:absolute;left:0;text-align:left;margin-left:-1pt;margin-top:80.6pt;width:453.05pt;height:110.6pt;z-index:25165829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" fillcolor="#201547" strokecolor="#1b383a [1604]" strokeweight="1pt">
                <v:textbox style="mso-fit-shape-to-text:t">
                  <w:txbxContent>
                    <w:p w14:paraId="7EDC647A" w14:textId="77777777" w:rsidR="006619C1" w:rsidRPr="006619C1" w:rsidRDefault="006619C1" w:rsidP="006619C1">
                      <w:pPr>
                        <w:pStyle w:val="Heading3-report"/>
                        <w:rPr>
                          <w:color w:val="FFFFFF" w:themeColor="background1"/>
                        </w:rPr>
                      </w:pPr>
                      <w:r w:rsidRPr="006619C1">
                        <w:rPr>
                          <w:color w:val="FFFFFF" w:themeColor="background1"/>
                        </w:rPr>
                        <w:t>Section 17 Protection of families and children</w:t>
                      </w:r>
                    </w:p>
                    <w:p w14:paraId="7211EF0F" w14:textId="77777777" w:rsidR="006619C1" w:rsidRPr="006619C1" w:rsidRDefault="006619C1" w:rsidP="00E225B4">
                      <w:pPr>
                        <w:pStyle w:val="ListParagraph"/>
                        <w:numPr>
                          <w:ilvl w:val="0"/>
                          <w:numId w:val="19"/>
                        </w:numPr>
                        <w:rPr>
                          <w:color w:val="FFFFFF" w:themeColor="background1"/>
                        </w:rPr>
                      </w:pPr>
                      <w:r w:rsidRPr="006619C1">
                        <w:rPr>
                          <w:color w:val="FFFFFF" w:themeColor="background1"/>
                        </w:rPr>
                        <w:t>Families are the fundamental group unit of society and are entitled to be protected by society and the state.</w:t>
                      </w:r>
                    </w:p>
                    <w:p w14:paraId="6B88ABA0" w14:textId="494EE0C6" w:rsidR="006619C1" w:rsidRPr="006619C1" w:rsidRDefault="006619C1" w:rsidP="00E225B4">
                      <w:pPr>
                        <w:pStyle w:val="ListParagraph"/>
                        <w:numPr>
                          <w:ilvl w:val="0"/>
                          <w:numId w:val="19"/>
                        </w:numPr>
                        <w:rPr>
                          <w:color w:val="FFFFFF" w:themeColor="background1"/>
                        </w:rPr>
                      </w:pPr>
                      <w:r w:rsidRPr="006619C1">
                        <w:rPr>
                          <w:color w:val="FFFFFF" w:themeColor="background1"/>
                        </w:rPr>
                        <w:t>Every child has the right, without discrimination, to such protection as is in the child’s best interests and is needed by the child by reason of being a child.</w:t>
                      </w:r>
                    </w:p>
                  </w:txbxContent>
                </v:textbox>
                <w10:wrap type="square" anchorx="margin"/>
              </v:shape>
            </w:pict>
          </mc:Fallback>
        </mc:AlternateContent>
      </w:r>
      <w:r>
        <w:rPr>
          <w:noProof/>
        </w:rPr>
        <w:drawing>
          <wp:anchor distT="0" distB="0" distL="114300" distR="114300" simplePos="0" relativeHeight="251658269" behindDoc="0" locked="0" layoutInCell="1" allowOverlap="1" wp14:anchorId="3150258D" wp14:editId="41BFD3A0">
            <wp:simplePos x="0" y="0"/>
            <wp:positionH relativeFrom="margin">
              <wp:align>left</wp:align>
            </wp:positionH>
            <wp:positionV relativeFrom="paragraph">
              <wp:posOffset>4214</wp:posOffset>
            </wp:positionV>
            <wp:extent cx="647065" cy="533400"/>
            <wp:effectExtent l="0" t="0" r="635" b="0"/>
            <wp:wrapNone/>
            <wp:docPr id="216" name="Picture 216" descr="two adults and a smaller child symbol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two adults and a smaller child symbolised"/>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t="8555" b="9027"/>
                    <a:stretch/>
                  </pic:blipFill>
                  <pic:spPr bwMode="auto">
                    <a:xfrm>
                      <a:off x="0" y="0"/>
                      <a:ext cx="64706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204B">
        <w:t>Protection of families and children (section 17)</w:t>
      </w:r>
    </w:p>
    <w:p w14:paraId="3AC766D0" w14:textId="37381F0E" w:rsidR="006619C1" w:rsidRPr="006619C1" w:rsidRDefault="00DB60E7" w:rsidP="00676E40">
      <w:pPr>
        <w:pStyle w:val="BoldedRightsIntro"/>
      </w:pPr>
      <w:r w:rsidRPr="006619C1">
        <w:t xml:space="preserve">Families and children are often deeply connected to mental health issues and psychological distress. Families </w:t>
      </w:r>
      <w:r w:rsidR="00385A83" w:rsidRPr="006619C1">
        <w:t xml:space="preserve">can be a supporter of someone in distress or crisis, and </w:t>
      </w:r>
      <w:r w:rsidR="00666208">
        <w:t xml:space="preserve">can </w:t>
      </w:r>
      <w:r w:rsidR="00385A83" w:rsidRPr="006619C1">
        <w:t>help them navigate the system and speak up for their rights.</w:t>
      </w:r>
      <w:r w:rsidR="00627AC7" w:rsidRPr="0091262D">
        <w:rPr>
          <w:rStyle w:val="FootnoteReference"/>
        </w:rPr>
        <w:footnoteReference w:id="121"/>
      </w:r>
      <w:r w:rsidR="00385A83" w:rsidRPr="006619C1">
        <w:t xml:space="preserve"> Alternatively, </w:t>
      </w:r>
      <w:r w:rsidR="00666208">
        <w:t>family</w:t>
      </w:r>
      <w:r w:rsidR="00666208" w:rsidRPr="006619C1">
        <w:t xml:space="preserve"> </w:t>
      </w:r>
      <w:r w:rsidR="00385A83" w:rsidRPr="006619C1">
        <w:t xml:space="preserve">can </w:t>
      </w:r>
      <w:r w:rsidR="00666208">
        <w:t xml:space="preserve">also </w:t>
      </w:r>
      <w:r w:rsidR="00385A83" w:rsidRPr="006619C1">
        <w:t xml:space="preserve">be a site of harm or a cause of distress, </w:t>
      </w:r>
      <w:r w:rsidR="00ED279C" w:rsidRPr="006619C1">
        <w:t>with instances of family violence and child sexual abuse.</w:t>
      </w:r>
      <w:r w:rsidR="00F25E12" w:rsidRPr="0091262D">
        <w:rPr>
          <w:rStyle w:val="FootnoteReference"/>
        </w:rPr>
        <w:footnoteReference w:id="122"/>
      </w:r>
      <w:r w:rsidR="00ED279C" w:rsidRPr="006619C1">
        <w:t xml:space="preserve"> Families can feel </w:t>
      </w:r>
      <w:r w:rsidR="001E53F0" w:rsidRPr="006619C1">
        <w:t>they are excluded from decisions regarding the care of a family member,</w:t>
      </w:r>
      <w:r w:rsidR="0035407F" w:rsidRPr="0091262D">
        <w:rPr>
          <w:rStyle w:val="FootnoteReference"/>
        </w:rPr>
        <w:footnoteReference w:id="123"/>
      </w:r>
      <w:r w:rsidR="001E53F0" w:rsidRPr="006619C1">
        <w:t xml:space="preserve"> while consumers can express concerns that the involvement </w:t>
      </w:r>
      <w:r w:rsidR="00D732F6" w:rsidRPr="006619C1">
        <w:t xml:space="preserve">of family </w:t>
      </w:r>
      <w:r w:rsidR="001E53F0" w:rsidRPr="006619C1">
        <w:t>undermines their autonomy, safety and human rights.</w:t>
      </w:r>
      <w:r w:rsidR="00F25E12" w:rsidRPr="0091262D">
        <w:rPr>
          <w:rStyle w:val="FootnoteReference"/>
        </w:rPr>
        <w:footnoteReference w:id="124"/>
      </w:r>
      <w:r w:rsidR="001E53F0" w:rsidRPr="006619C1">
        <w:t xml:space="preserve"> </w:t>
      </w:r>
      <w:r w:rsidR="003F2C1F" w:rsidRPr="006619C1">
        <w:t xml:space="preserve">The impacts of mental health care on children are often lost too, </w:t>
      </w:r>
      <w:r w:rsidR="005741AF" w:rsidRPr="006619C1">
        <w:t xml:space="preserve">rendered invisible </w:t>
      </w:r>
      <w:r w:rsidR="003F2C1F" w:rsidRPr="006619C1">
        <w:t>by a fast-moving</w:t>
      </w:r>
      <w:r w:rsidR="00314A41" w:rsidRPr="006619C1">
        <w:t xml:space="preserve"> and at times impersonal</w:t>
      </w:r>
      <w:r w:rsidR="003F2C1F" w:rsidRPr="006619C1">
        <w:t xml:space="preserve"> system.</w:t>
      </w:r>
      <w:r w:rsidR="0066343E" w:rsidRPr="0091262D">
        <w:rPr>
          <w:rStyle w:val="FootnoteReference"/>
        </w:rPr>
        <w:footnoteReference w:id="125"/>
      </w:r>
    </w:p>
    <w:p w14:paraId="3E328576" w14:textId="087D25AE" w:rsidR="003F2C1F" w:rsidRDefault="003F2C1F" w:rsidP="6D69D0D5">
      <w:r>
        <w:t xml:space="preserve">These spaces are </w:t>
      </w:r>
      <w:r w:rsidR="001B1469">
        <w:t xml:space="preserve">deeply complex and contested. They are </w:t>
      </w:r>
      <w:r w:rsidR="001B1469" w:rsidRPr="6D69D0D5">
        <w:t xml:space="preserve">bound up in shared and separate identities, goals, </w:t>
      </w:r>
      <w:r w:rsidR="001B01AA" w:rsidRPr="6D69D0D5">
        <w:t>and</w:t>
      </w:r>
      <w:r w:rsidR="001B1469" w:rsidRPr="6D69D0D5">
        <w:t xml:space="preserve"> traumas. There are few universal truths or </w:t>
      </w:r>
      <w:r w:rsidR="009457FA" w:rsidRPr="00CE726F">
        <w:rPr>
          <w:szCs w:val="24"/>
        </w:rPr>
        <w:t>‘</w:t>
      </w:r>
      <w:r w:rsidR="007654BB" w:rsidRPr="6D69D0D5">
        <w:t>silver bullets</w:t>
      </w:r>
      <w:r w:rsidR="009457FA" w:rsidRPr="00CE726F">
        <w:rPr>
          <w:szCs w:val="24"/>
        </w:rPr>
        <w:t>’</w:t>
      </w:r>
      <w:r w:rsidR="007654BB" w:rsidRPr="6D69D0D5">
        <w:t xml:space="preserve"> to resolve these tensions. The Charter does, however, provid</w:t>
      </w:r>
      <w:r w:rsidR="009457FA" w:rsidRPr="6D69D0D5">
        <w:t>e</w:t>
      </w:r>
      <w:r w:rsidR="007654BB" w:rsidRPr="00CE726F">
        <w:rPr>
          <w:szCs w:val="24"/>
        </w:rPr>
        <w:t xml:space="preserve"> </w:t>
      </w:r>
      <w:r w:rsidR="007654BB" w:rsidRPr="6D69D0D5">
        <w:t xml:space="preserve">an organising framework to </w:t>
      </w:r>
      <w:r w:rsidR="00AE5B56" w:rsidRPr="6D69D0D5">
        <w:rPr>
          <w:i/>
          <w:iCs/>
        </w:rPr>
        <w:t>think through</w:t>
      </w:r>
      <w:r w:rsidR="00AE5B56" w:rsidRPr="6D69D0D5">
        <w:t xml:space="preserve"> how to balance the human rights and interests of different </w:t>
      </w:r>
      <w:r w:rsidR="00BD6465" w:rsidRPr="6D69D0D5">
        <w:t>p</w:t>
      </w:r>
      <w:r w:rsidR="00BD6465">
        <w:t>eople</w:t>
      </w:r>
      <w:r w:rsidR="00AE5B56" w:rsidRPr="6D69D0D5">
        <w:t xml:space="preserve">. </w:t>
      </w:r>
      <w:r w:rsidR="00785B1B" w:rsidRPr="6D69D0D5">
        <w:t>T</w:t>
      </w:r>
      <w:r w:rsidR="00936ACD" w:rsidRPr="6D69D0D5">
        <w:rPr>
          <w:rStyle w:val="cf01"/>
          <w:rFonts w:asciiTheme="minorHAnsi" w:hAnsiTheme="minorHAnsi" w:cstheme="minorBidi"/>
          <w:sz w:val="24"/>
          <w:szCs w:val="24"/>
        </w:rPr>
        <w:t>he Royal Commission expressly recognised that human rights belong to all people and that a range of rights need to be considered in the mental health and wellbeing system, including rights to privacy and personal autonomy, and rights to family and social connection</w:t>
      </w:r>
      <w:r w:rsidR="00AE5B56" w:rsidRPr="6D69D0D5">
        <w:t>.</w:t>
      </w:r>
      <w:r w:rsidR="00BC0F69" w:rsidRPr="0091262D">
        <w:rPr>
          <w:rStyle w:val="FootnoteReference"/>
        </w:rPr>
        <w:footnoteReference w:id="126"/>
      </w:r>
    </w:p>
    <w:p w14:paraId="4692412E" w14:textId="29C3526C" w:rsidR="008414D2" w:rsidRDefault="008057D1" w:rsidP="008414D2">
      <w:pPr>
        <w:pStyle w:val="Heading3-report"/>
      </w:pPr>
      <w:r>
        <w:t xml:space="preserve">When </w:t>
      </w:r>
      <w:r w:rsidR="00366FBD">
        <w:t>this could arise in your work</w:t>
      </w:r>
    </w:p>
    <w:p w14:paraId="500C6713" w14:textId="1ED5E4AE" w:rsidR="00540159" w:rsidRDefault="00FF366C" w:rsidP="00F01258">
      <w:r>
        <w:t xml:space="preserve">There are a range of circumstances where </w:t>
      </w:r>
      <w:r w:rsidR="00D11F71">
        <w:t xml:space="preserve">this right may be engaged or limited. </w:t>
      </w:r>
    </w:p>
    <w:p w14:paraId="6103A81B" w14:textId="0EB2B883" w:rsidR="00070A4D" w:rsidRDefault="008057D1" w:rsidP="00070A4D">
      <w:pPr>
        <w:pStyle w:val="Heading4"/>
      </w:pPr>
      <w:r>
        <w:lastRenderedPageBreak/>
        <w:t>When mental health services interact with the child protection or family violence system</w:t>
      </w:r>
    </w:p>
    <w:p w14:paraId="15DB2492" w14:textId="083871D1" w:rsidR="00735C51" w:rsidRDefault="00D11F71" w:rsidP="00F01258">
      <w:r>
        <w:t xml:space="preserve">One example is where children are taken from their parents because of </w:t>
      </w:r>
      <w:r w:rsidR="00FF1D25">
        <w:t>ill-treatment or neglect.</w:t>
      </w:r>
      <w:r w:rsidR="00B21DD2" w:rsidRPr="0091262D">
        <w:rPr>
          <w:rStyle w:val="FootnoteReference"/>
        </w:rPr>
        <w:footnoteReference w:id="127"/>
      </w:r>
      <w:r w:rsidR="0019245A">
        <w:t xml:space="preserve"> </w:t>
      </w:r>
      <w:r w:rsidR="6D69D0D5">
        <w:t>The scale of childhood abuse and neglect is enormous.</w:t>
      </w:r>
      <w:r w:rsidR="00D85953" w:rsidRPr="0091262D">
        <w:rPr>
          <w:rStyle w:val="FootnoteReference"/>
        </w:rPr>
        <w:footnoteReference w:id="128"/>
      </w:r>
      <w:r w:rsidR="6D69D0D5">
        <w:t xml:space="preserve"> The impact on mental health and wellbeing of a child later in life is also significant.</w:t>
      </w:r>
      <w:r w:rsidR="00E2123C" w:rsidRPr="0091262D">
        <w:rPr>
          <w:rStyle w:val="FootnoteReference"/>
        </w:rPr>
        <w:footnoteReference w:id="129"/>
      </w:r>
      <w:r w:rsidR="6D69D0D5">
        <w:t xml:space="preserve"> This can create difficult policy-level and service provider-level decisions.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0"/>
      </w:tblGrid>
      <w:tr w:rsidR="002C05E6" w14:paraId="359888C9" w14:textId="77777777" w:rsidTr="6D69D0D5">
        <w:tc>
          <w:tcPr>
            <w:tcW w:w="9060" w:type="dxa"/>
            <w:tcBorders>
              <w:top w:val="thickThinSmallGap" w:sz="24" w:space="0" w:color="201547"/>
              <w:bottom w:val="thickThinSmallGap" w:sz="24" w:space="0" w:color="201547"/>
            </w:tcBorders>
            <w:shd w:val="clear" w:color="auto" w:fill="F2F2F2" w:themeFill="background1" w:themeFillShade="F2"/>
          </w:tcPr>
          <w:p w14:paraId="4E792F0D" w14:textId="77777777" w:rsidR="002C05E6" w:rsidRPr="002C05E6" w:rsidRDefault="002C05E6" w:rsidP="002C05E6">
            <w:pPr>
              <w:rPr>
                <w:b/>
                <w:bCs/>
              </w:rPr>
            </w:pPr>
            <w:r w:rsidRPr="002C05E6">
              <w:rPr>
                <w:b/>
                <w:bCs/>
              </w:rPr>
              <w:t>Where families’ and children’s rights are in tension</w:t>
            </w:r>
          </w:p>
          <w:p w14:paraId="6BD3C0CE" w14:textId="51D60449" w:rsidR="002C05E6" w:rsidRDefault="002C05E6" w:rsidP="00341AE5">
            <w:r>
              <w:t>At times, the protection of the family unit may come into tension with the righ</w:t>
            </w:r>
            <w:r w:rsidR="00180167">
              <w:t>ts of the child</w:t>
            </w:r>
            <w:r w:rsidR="00194FCB">
              <w:t xml:space="preserve"> to</w:t>
            </w:r>
            <w:r w:rsidR="00180167">
              <w:t xml:space="preserve"> protection. This tension is most likely to occur in child protection matters. In those cases, </w:t>
            </w:r>
            <w:r w:rsidR="00234299">
              <w:t>the court has favoured the best interests of the child over protection of the family.</w:t>
            </w:r>
            <w:r w:rsidR="00234299" w:rsidRPr="0091262D">
              <w:rPr>
                <w:rStyle w:val="FootnoteReference"/>
              </w:rPr>
              <w:footnoteReference w:id="130"/>
            </w:r>
            <w:r w:rsidR="00F25E12">
              <w:t xml:space="preserve"> </w:t>
            </w:r>
          </w:p>
        </w:tc>
      </w:tr>
    </w:tbl>
    <w:p w14:paraId="5060251B" w14:textId="78731D1D" w:rsidR="00C5399F" w:rsidRDefault="00537823" w:rsidP="007D13C6">
      <w:pPr>
        <w:spacing w:before="120"/>
      </w:pPr>
      <w:r>
        <w:t xml:space="preserve">Children and carers of family members in distress can </w:t>
      </w:r>
      <w:r w:rsidR="00BA3916">
        <w:t xml:space="preserve">try to </w:t>
      </w:r>
      <w:r>
        <w:t>avoid various systems, including mental health systems, because they fear the prospect of removals by child protection services.</w:t>
      </w:r>
      <w:r w:rsidRPr="0091262D">
        <w:rPr>
          <w:rStyle w:val="FootnoteReference"/>
        </w:rPr>
        <w:footnoteReference w:id="131"/>
      </w:r>
      <w:r>
        <w:t xml:space="preserve"> These risks are often felt strongly within Aboriginal families.</w:t>
      </w:r>
      <w:r w:rsidRPr="0091262D">
        <w:rPr>
          <w:rStyle w:val="FootnoteReference"/>
        </w:rPr>
        <w:footnoteReference w:id="132"/>
      </w:r>
      <w:r>
        <w:t xml:space="preserve"> Because of this connection, the reviewing of perinatal mental health screening methods</w:t>
      </w:r>
      <w:r w:rsidRPr="0091262D">
        <w:rPr>
          <w:rStyle w:val="FootnoteReference"/>
        </w:rPr>
        <w:footnoteReference w:id="133"/>
      </w:r>
      <w:r>
        <w:t xml:space="preserve"> is an example </w:t>
      </w:r>
      <w:r w:rsidR="006F4274">
        <w:t xml:space="preserve">of </w:t>
      </w:r>
      <w:r>
        <w:t xml:space="preserve">where family rights should be foregrounded, as well children’s rights, cultural rights and other rights </w:t>
      </w:r>
      <w:r w:rsidR="008345CB">
        <w:t xml:space="preserve">affected </w:t>
      </w:r>
      <w:r>
        <w:t>by mental health treatment</w:t>
      </w:r>
      <w:r w:rsidR="6D69D0D5">
        <w:t>.</w:t>
      </w:r>
    </w:p>
    <w:p w14:paraId="22E9FD6E" w14:textId="77777777" w:rsidR="00C5399F" w:rsidRDefault="00C5399F">
      <w:r>
        <w:br w:type="page"/>
      </w:r>
    </w:p>
    <w:p w14:paraId="77A2E472" w14:textId="7330D898" w:rsidR="005275E0" w:rsidRPr="00537823" w:rsidRDefault="005275E0" w:rsidP="007D13C6">
      <w:pPr>
        <w:spacing w:before="120"/>
      </w:pPr>
    </w:p>
    <w:tbl>
      <w:tblPr>
        <w:tblStyle w:val="TableGrid"/>
        <w:tblW w:w="0" w:type="auto"/>
        <w:tblLook w:val="04A0" w:firstRow="1" w:lastRow="0" w:firstColumn="1" w:lastColumn="0" w:noHBand="0" w:noVBand="1"/>
      </w:tblPr>
      <w:tblGrid>
        <w:gridCol w:w="9060"/>
      </w:tblGrid>
      <w:tr w:rsidR="0073694D" w14:paraId="226CD154" w14:textId="77777777" w:rsidTr="6D69D0D5">
        <w:tc>
          <w:tcPr>
            <w:tcW w:w="9060" w:type="dxa"/>
            <w:tcBorders>
              <w:top w:val="thickThinSmallGap" w:sz="24" w:space="0" w:color="201547"/>
              <w:left w:val="nil"/>
              <w:bottom w:val="thickThinSmallGap" w:sz="24" w:space="0" w:color="201547"/>
              <w:right w:val="nil"/>
            </w:tcBorders>
            <w:shd w:val="clear" w:color="auto" w:fill="F2F2F2" w:themeFill="background1" w:themeFillShade="F2"/>
          </w:tcPr>
          <w:p w14:paraId="074F1D7C" w14:textId="1E864BCC" w:rsidR="0073694D" w:rsidRDefault="0073694D" w:rsidP="00537823">
            <w:pPr>
              <w:rPr>
                <w:b/>
                <w:bCs/>
              </w:rPr>
            </w:pPr>
            <w:r w:rsidRPr="00537823">
              <w:rPr>
                <w:b/>
                <w:bCs/>
              </w:rPr>
              <w:t xml:space="preserve">Balancing rights and interests between families, carers, </w:t>
            </w:r>
            <w:r w:rsidR="00E60AC6" w:rsidRPr="00537823">
              <w:rPr>
                <w:b/>
                <w:bCs/>
              </w:rPr>
              <w:t>supporters,</w:t>
            </w:r>
            <w:r w:rsidRPr="00537823">
              <w:rPr>
                <w:b/>
                <w:bCs/>
              </w:rPr>
              <w:t xml:space="preserve"> and consumers</w:t>
            </w:r>
          </w:p>
          <w:p w14:paraId="18DC0D54" w14:textId="7113CC93" w:rsidR="00D81106" w:rsidRDefault="00D81106" w:rsidP="00537823">
            <w:r>
              <w:t>The</w:t>
            </w:r>
            <w:r w:rsidR="00CC5095">
              <w:t xml:space="preserve"> Charter</w:t>
            </w:r>
            <w:r w:rsidR="00C16156">
              <w:t xml:space="preserve">’s strength lay in its ability to support thinking </w:t>
            </w:r>
            <w:r w:rsidR="00BB06CF">
              <w:t>about</w:t>
            </w:r>
            <w:r w:rsidR="00624371">
              <w:t xml:space="preserve"> difficult policy issues. That was its purpose when introduced to Parliament in 2006.</w:t>
            </w:r>
            <w:r w:rsidR="00C6107B" w:rsidRPr="0091262D">
              <w:rPr>
                <w:rStyle w:val="FootnoteReference"/>
              </w:rPr>
              <w:footnoteReference w:id="134"/>
            </w:r>
            <w:r w:rsidR="00BC6339">
              <w:t xml:space="preserve"> Where there are competing tensions between the needs of families, carers and supporters, and the needs of</w:t>
            </w:r>
            <w:r w:rsidR="00D81CA5">
              <w:t xml:space="preserve"> </w:t>
            </w:r>
            <w:r w:rsidR="00216C1D">
              <w:t>consumers, section 7(2) of the Charter enables a series of questions to guide better decision-making</w:t>
            </w:r>
            <w:r w:rsidR="00A870C5">
              <w:t>:</w:t>
            </w:r>
          </w:p>
          <w:p w14:paraId="50990816" w14:textId="33F23130" w:rsidR="00A870C5" w:rsidRDefault="6D69D0D5" w:rsidP="00E225B4">
            <w:pPr>
              <w:pStyle w:val="ListParagraph"/>
              <w:numPr>
                <w:ilvl w:val="0"/>
                <w:numId w:val="20"/>
              </w:numPr>
            </w:pPr>
            <w:r w:rsidRPr="6D69D0D5">
              <w:rPr>
                <w:i/>
                <w:iCs/>
              </w:rPr>
              <w:t>Whose</w:t>
            </w:r>
            <w:r>
              <w:t xml:space="preserve"> human right(s) are being engaged by this decision? </w:t>
            </w:r>
          </w:p>
          <w:p w14:paraId="63348E8E" w14:textId="3D1C3EE5" w:rsidR="00A870C5" w:rsidRDefault="00A870C5" w:rsidP="00E225B4">
            <w:pPr>
              <w:pStyle w:val="ListParagraph"/>
              <w:numPr>
                <w:ilvl w:val="0"/>
                <w:numId w:val="20"/>
              </w:numPr>
            </w:pPr>
            <w:r w:rsidRPr="6D69D0D5">
              <w:rPr>
                <w:i/>
                <w:iCs/>
              </w:rPr>
              <w:t>What</w:t>
            </w:r>
            <w:r>
              <w:t xml:space="preserve"> rights are being engaged</w:t>
            </w:r>
            <w:r w:rsidR="00A80BB1">
              <w:t xml:space="preserve">, </w:t>
            </w:r>
            <w:r w:rsidR="00FC6D61">
              <w:t xml:space="preserve">what is the </w:t>
            </w:r>
            <w:r w:rsidR="00A80BB1" w:rsidRPr="6D69D0D5">
              <w:rPr>
                <w:i/>
                <w:iCs/>
              </w:rPr>
              <w:t>nature</w:t>
            </w:r>
            <w:r w:rsidR="00A80BB1">
              <w:t xml:space="preserve"> of the right and the </w:t>
            </w:r>
            <w:r w:rsidR="004C3506" w:rsidRPr="6D69D0D5">
              <w:rPr>
                <w:i/>
                <w:iCs/>
              </w:rPr>
              <w:t xml:space="preserve">effect </w:t>
            </w:r>
            <w:r w:rsidR="004C3506">
              <w:t>of the engagement</w:t>
            </w:r>
            <w:r>
              <w:t>?</w:t>
            </w:r>
            <w:r w:rsidR="00B57701" w:rsidRPr="0091262D">
              <w:rPr>
                <w:rStyle w:val="FootnoteReference"/>
              </w:rPr>
              <w:footnoteReference w:id="135"/>
            </w:r>
            <w:r w:rsidR="00B87919">
              <w:t xml:space="preserve"> </w:t>
            </w:r>
          </w:p>
          <w:p w14:paraId="663A9B2F" w14:textId="2D572B49" w:rsidR="00A870C5" w:rsidRDefault="00FE660C" w:rsidP="00E225B4">
            <w:pPr>
              <w:pStyle w:val="ListParagraph"/>
              <w:numPr>
                <w:ilvl w:val="0"/>
                <w:numId w:val="20"/>
              </w:numPr>
            </w:pPr>
            <w:r>
              <w:t>If the decision</w:t>
            </w:r>
            <w:r w:rsidR="00C5399F">
              <w:t xml:space="preserve"> is impacting a</w:t>
            </w:r>
            <w:r w:rsidR="003A1EAC">
              <w:t xml:space="preserve"> group’s rights, how </w:t>
            </w:r>
            <w:r w:rsidR="003A1EAC">
              <w:rPr>
                <w:i/>
                <w:iCs/>
              </w:rPr>
              <w:t>important</w:t>
            </w:r>
            <w:r w:rsidR="003A1EAC">
              <w:t xml:space="preserve"> is the purpose (or goal) behind that limitation?</w:t>
            </w:r>
          </w:p>
          <w:p w14:paraId="6D09C515" w14:textId="7FE4FD24" w:rsidR="003A1EAC" w:rsidRDefault="00D05412" w:rsidP="00E225B4">
            <w:pPr>
              <w:pStyle w:val="ListParagraph"/>
              <w:numPr>
                <w:ilvl w:val="0"/>
                <w:numId w:val="20"/>
              </w:numPr>
            </w:pPr>
            <w:r>
              <w:t xml:space="preserve">If there is a </w:t>
            </w:r>
            <w:r w:rsidR="005438F2">
              <w:t xml:space="preserve">proposed </w:t>
            </w:r>
            <w:r>
              <w:t xml:space="preserve">limitation on someone or a group’s rights, </w:t>
            </w:r>
            <w:r w:rsidR="00A053D3">
              <w:t xml:space="preserve">is that limitation </w:t>
            </w:r>
            <w:r w:rsidR="00B57701">
              <w:rPr>
                <w:i/>
                <w:iCs/>
              </w:rPr>
              <w:t>actually effective</w:t>
            </w:r>
            <w:r w:rsidR="00B57701">
              <w:t xml:space="preserve"> in achieving the purpose (or goal) behind it?</w:t>
            </w:r>
          </w:p>
          <w:p w14:paraId="1DBD27AA" w14:textId="7722FE26" w:rsidR="00B57701" w:rsidRDefault="6D69D0D5" w:rsidP="00E225B4">
            <w:pPr>
              <w:pStyle w:val="ListParagraph"/>
              <w:numPr>
                <w:ilvl w:val="0"/>
                <w:numId w:val="20"/>
              </w:numPr>
            </w:pPr>
            <w:r>
              <w:t xml:space="preserve">If there is a proposed limitation on someone or a group’s rights, are there </w:t>
            </w:r>
            <w:r w:rsidRPr="6D69D0D5">
              <w:rPr>
                <w:i/>
                <w:iCs/>
              </w:rPr>
              <w:t>less restrictive ways</w:t>
            </w:r>
            <w:r>
              <w:t xml:space="preserve"> to achieve the purpose or goal, than the limitation being proposed?</w:t>
            </w:r>
          </w:p>
          <w:p w14:paraId="5DC071E1" w14:textId="7CAB1FB4" w:rsidR="0080405F" w:rsidRPr="00D81106" w:rsidRDefault="0080405F" w:rsidP="0080405F">
            <w:r>
              <w:t>While many stakeholders have an interest in mental health care, you should scale your level of engagement to</w:t>
            </w:r>
            <w:r w:rsidR="00524646">
              <w:t>wards consumers and families, carers and supporters based on whose</w:t>
            </w:r>
            <w:r w:rsidR="00BB06CF">
              <w:t xml:space="preserve"> human</w:t>
            </w:r>
            <w:r w:rsidR="00524646">
              <w:t xml:space="preserve"> rights are engaged in a proposal</w:t>
            </w:r>
            <w:r w:rsidR="000627FD">
              <w:t>, policy, decision or service</w:t>
            </w:r>
            <w:r w:rsidR="00AE30C1">
              <w:t>.</w:t>
            </w:r>
          </w:p>
          <w:p w14:paraId="36E24B3A" w14:textId="50455D9E" w:rsidR="00501E89" w:rsidRPr="0073694D" w:rsidRDefault="00501E89" w:rsidP="0073694D"/>
        </w:tc>
      </w:tr>
    </w:tbl>
    <w:p w14:paraId="5746F447" w14:textId="4ECA2008" w:rsidR="0073694D" w:rsidRDefault="00A65728" w:rsidP="00A65728">
      <w:pPr>
        <w:pStyle w:val="Heading4"/>
      </w:pPr>
      <w:r>
        <w:t xml:space="preserve">When developing </w:t>
      </w:r>
      <w:r w:rsidR="0039679A">
        <w:t xml:space="preserve">mental health </w:t>
      </w:r>
      <w:r w:rsidR="007A2229">
        <w:t xml:space="preserve">and wellbeing </w:t>
      </w:r>
      <w:r w:rsidR="0039679A">
        <w:t>services for children and young people</w:t>
      </w:r>
    </w:p>
    <w:p w14:paraId="50E1FF00" w14:textId="20C81AC9" w:rsidR="0039679A" w:rsidRPr="000450E5" w:rsidDel="00872EFC" w:rsidRDefault="6D69D0D5" w:rsidP="00EA5FB3">
      <w:pPr>
        <w:rPr>
          <w:lang w:eastAsia="en-AU"/>
        </w:rPr>
      </w:pPr>
      <w:r w:rsidRPr="6D69D0D5">
        <w:rPr>
          <w:lang w:eastAsia="en-AU"/>
        </w:rPr>
        <w:t xml:space="preserve">Human rights must be front of mind for the development of youth mental health </w:t>
      </w:r>
      <w:r w:rsidR="007A2229">
        <w:rPr>
          <w:lang w:eastAsia="en-AU"/>
        </w:rPr>
        <w:t xml:space="preserve">and wellbeing </w:t>
      </w:r>
      <w:r w:rsidRPr="6D69D0D5">
        <w:rPr>
          <w:lang w:eastAsia="en-AU"/>
        </w:rPr>
        <w:t>services, including Youth Mental Health and Wellbeing Victoria.</w:t>
      </w:r>
      <w:r w:rsidR="00AC37A4" w:rsidRPr="0091262D">
        <w:rPr>
          <w:rStyle w:val="FootnoteReference"/>
        </w:rPr>
        <w:footnoteReference w:id="136"/>
      </w:r>
      <w:r w:rsidRPr="6D69D0D5">
        <w:rPr>
          <w:lang w:eastAsia="en-AU"/>
        </w:rPr>
        <w:t xml:space="preserve"> The rights of children and young people – referring to people under 18 years of age – are set out under the </w:t>
      </w:r>
      <w:r w:rsidRPr="6D69D0D5">
        <w:rPr>
          <w:i/>
          <w:iCs/>
        </w:rPr>
        <w:t>Convention on the Rights of the Child</w:t>
      </w:r>
      <w:r w:rsidR="007F0E77" w:rsidRPr="0091262D">
        <w:rPr>
          <w:rStyle w:val="FootnoteReference"/>
        </w:rPr>
        <w:footnoteReference w:id="137"/>
      </w:r>
      <w:r>
        <w:t xml:space="preserve"> (</w:t>
      </w:r>
      <w:r w:rsidRPr="007D6A00">
        <w:t>CRoC</w:t>
      </w:r>
      <w:r>
        <w:t>)</w:t>
      </w:r>
      <w:r w:rsidRPr="6D69D0D5">
        <w:rPr>
          <w:i/>
          <w:iCs/>
          <w:lang w:eastAsia="en-AU"/>
        </w:rPr>
        <w:t xml:space="preserve">. </w:t>
      </w:r>
      <w:r w:rsidRPr="6D69D0D5">
        <w:rPr>
          <w:lang w:eastAsia="en-AU"/>
        </w:rPr>
        <w:t>A central principle and right for children in both the CRoC and the Charter is that decisions are made in the child’s ‘best interests’. Therefore, mental health</w:t>
      </w:r>
      <w:r w:rsidR="00F950C8">
        <w:rPr>
          <w:lang w:eastAsia="en-AU"/>
        </w:rPr>
        <w:t xml:space="preserve"> and wellbeing</w:t>
      </w:r>
      <w:r w:rsidRPr="6D69D0D5">
        <w:rPr>
          <w:lang w:eastAsia="en-AU"/>
        </w:rPr>
        <w:t xml:space="preserve"> services should develop their policies and procedures in ways that maximise the child’s best interests in their decision-making, while also adhering to other duties under the Mental Health and Wellbeing Act. In doing so, children and young people should be ‘active partners’ in the development of the mental health and wellbeing system.</w:t>
      </w:r>
    </w:p>
    <w:p w14:paraId="3C916DF8" w14:textId="3A28D483" w:rsidR="6D69D0D5" w:rsidRDefault="6D69D0D5" w:rsidP="007D6A00">
      <w:pPr>
        <w:keepNext/>
        <w:rPr>
          <w:b/>
          <w:bCs/>
          <w:lang w:eastAsia="en-AU"/>
        </w:rPr>
      </w:pPr>
      <w:r w:rsidRPr="6D69D0D5">
        <w:rPr>
          <w:b/>
          <w:bCs/>
          <w:lang w:eastAsia="en-AU"/>
        </w:rPr>
        <w:lastRenderedPageBreak/>
        <w:t>When considering the impact of decisions on young carers and family members and opportunities to connect them to supports</w:t>
      </w:r>
    </w:p>
    <w:p w14:paraId="156FF276" w14:textId="42285A96" w:rsidR="000E0FCD" w:rsidRDefault="6D69D0D5" w:rsidP="00872EFC">
      <w:pPr>
        <w:sectPr w:rsidR="000E0FCD" w:rsidSect="00271E88">
          <w:pgSz w:w="11906" w:h="16838"/>
          <w:pgMar w:top="1440" w:right="1418" w:bottom="1440" w:left="1418" w:header="708" w:footer="708" w:gutter="0"/>
          <w:cols w:space="708"/>
          <w:titlePg/>
          <w:docGrid w:linePitch="360"/>
        </w:sectPr>
      </w:pPr>
      <w:r w:rsidRPr="6D69D0D5">
        <w:rPr>
          <w:lang w:eastAsia="en-AU"/>
        </w:rPr>
        <w:t>Additionally, children and young people who are carers or have a parent</w:t>
      </w:r>
      <w:r w:rsidR="007D296A">
        <w:rPr>
          <w:lang w:eastAsia="en-AU"/>
        </w:rPr>
        <w:t>,</w:t>
      </w:r>
      <w:r w:rsidRPr="6D69D0D5">
        <w:rPr>
          <w:lang w:eastAsia="en-AU"/>
        </w:rPr>
        <w:t xml:space="preserve"> guardian</w:t>
      </w:r>
      <w:r w:rsidR="007D296A">
        <w:rPr>
          <w:lang w:eastAsia="en-AU"/>
        </w:rPr>
        <w:t xml:space="preserve"> or sibling</w:t>
      </w:r>
      <w:r w:rsidRPr="6D69D0D5">
        <w:rPr>
          <w:lang w:eastAsia="en-AU"/>
        </w:rPr>
        <w:t xml:space="preserve"> who has mental health needs can be significantly affected by decisions in the mental health and wellbeing </w:t>
      </w:r>
      <w:r w:rsidR="007D296A">
        <w:rPr>
          <w:lang w:eastAsia="en-AU"/>
        </w:rPr>
        <w:t>system</w:t>
      </w:r>
      <w:r w:rsidRPr="6D69D0D5">
        <w:rPr>
          <w:lang w:eastAsia="en-AU"/>
        </w:rPr>
        <w:t>. The broader family context should be considered when making decisions. Opportunities to connect children and young people to appropriate supports should be identified and acted on.</w:t>
      </w:r>
      <w:r w:rsidR="00580891" w:rsidRPr="0091262D">
        <w:rPr>
          <w:rStyle w:val="FootnoteReference"/>
        </w:rPr>
        <w:footnoteReference w:id="138"/>
      </w:r>
      <w:r w:rsidR="00F01932">
        <w:t xml:space="preserve"> </w:t>
      </w:r>
    </w:p>
    <w:p w14:paraId="00C7692E" w14:textId="0DB1B55E" w:rsidR="000E0FCD" w:rsidRDefault="000E0FCD" w:rsidP="000E0FCD">
      <w:pPr>
        <w:pStyle w:val="Heading1-report"/>
        <w:spacing w:before="0"/>
      </w:pPr>
      <w:r>
        <w:rPr>
          <w:noProof/>
        </w:rPr>
        <w:lastRenderedPageBreak/>
        <mc:AlternateContent>
          <mc:Choice Requires="wps">
            <w:drawing>
              <wp:anchor distT="0" distB="0" distL="114300" distR="114300" simplePos="0" relativeHeight="251658273" behindDoc="1" locked="0" layoutInCell="1" allowOverlap="1" wp14:anchorId="271EE31F" wp14:editId="44EC2B5B">
                <wp:simplePos x="0" y="0"/>
                <wp:positionH relativeFrom="page">
                  <wp:align>left</wp:align>
                </wp:positionH>
                <wp:positionV relativeFrom="paragraph">
                  <wp:posOffset>-901811</wp:posOffset>
                </wp:positionV>
                <wp:extent cx="10693593" cy="7952874"/>
                <wp:effectExtent l="0" t="0" r="12700" b="10160"/>
                <wp:wrapNone/>
                <wp:docPr id="267" name="Rectangle 267"/>
                <wp:cNvGraphicFramePr/>
                <a:graphic xmlns:a="http://schemas.openxmlformats.org/drawingml/2006/main">
                  <a:graphicData uri="http://schemas.microsoft.com/office/word/2010/wordprocessingShape">
                    <wps:wsp>
                      <wps:cNvSpPr/>
                      <wps:spPr>
                        <a:xfrm>
                          <a:off x="0" y="0"/>
                          <a:ext cx="10693593" cy="7952874"/>
                        </a:xfrm>
                        <a:prstGeom prst="rect">
                          <a:avLst/>
                        </a:prstGeom>
                        <a:solidFill>
                          <a:srgbClr val="D0E8E9"/>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4FE10E" w14:textId="77777777" w:rsidR="000E0FCD" w:rsidRDefault="000E0FCD" w:rsidP="000E0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EE31F" id="Rectangle 267" o:spid="_x0000_s1046" style="position:absolute;margin-left:0;margin-top:-71pt;width:842pt;height:626.2pt;z-index:-25165820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" fillcolor="#d0e8e9" strokecolor="#1b383a [1604]" strokeweight="1pt">
                <v:textbox>
                  <w:txbxContent>
                    <w:p w14:paraId="084FE10E" w14:textId="77777777" w:rsidR="000E0FCD" w:rsidRDefault="000E0FCD" w:rsidP="000E0FCD">
                      <w:pPr>
                        <w:jc w:val="center"/>
                      </w:pPr>
                    </w:p>
                  </w:txbxContent>
                </v:textbox>
                <w10:wrap anchorx="page"/>
              </v:rect>
            </w:pict>
          </mc:Fallback>
        </mc:AlternateContent>
      </w:r>
      <w:r>
        <w:t>TAKE-HOMES: PROTECTION OF FAMILY AND CHILDREN</w:t>
      </w:r>
    </w:p>
    <w:tbl>
      <w:tblPr>
        <w:tblStyle w:val="TableGridLight"/>
        <w:tblW w:w="15446" w:type="dxa"/>
        <w:tblCellMar>
          <w:bottom w:w="284" w:type="dxa"/>
        </w:tblCellMar>
        <w:tblLook w:val="04A0" w:firstRow="1" w:lastRow="0" w:firstColumn="1" w:lastColumn="0" w:noHBand="0" w:noVBand="1"/>
      </w:tblPr>
      <w:tblGrid>
        <w:gridCol w:w="1056"/>
        <w:gridCol w:w="6368"/>
        <w:gridCol w:w="1056"/>
        <w:gridCol w:w="6966"/>
      </w:tblGrid>
      <w:tr w:rsidR="003524C6" w14:paraId="74E2E46A" w14:textId="77777777" w:rsidTr="6D69D0D5">
        <w:tc>
          <w:tcPr>
            <w:tcW w:w="1056" w:type="dxa"/>
          </w:tcPr>
          <w:p w14:paraId="7D1AA967" w14:textId="77777777" w:rsidR="000E0FCD" w:rsidRDefault="000E0FCD" w:rsidP="004F4360">
            <w:r>
              <w:rPr>
                <w:noProof/>
              </w:rPr>
              <w:drawing>
                <wp:inline distT="0" distB="0" distL="0" distR="0" wp14:anchorId="6A81DC19" wp14:editId="12E5A332">
                  <wp:extent cx="526774" cy="526774"/>
                  <wp:effectExtent l="0" t="0" r="6985" b="6985"/>
                  <wp:docPr id="268" name="Graphic 268"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6452" w:type="dxa"/>
          </w:tcPr>
          <w:p w14:paraId="02E1CE42" w14:textId="5B765C25" w:rsidR="000E0FCD" w:rsidRDefault="00287AF4" w:rsidP="004F4360">
            <w:pPr>
              <w:pStyle w:val="Heading3-report"/>
            </w:pPr>
            <w:r>
              <w:t xml:space="preserve">Balancing family-inclusive care with privacy and other rights </w:t>
            </w:r>
          </w:p>
          <w:p w14:paraId="2BB25FF7" w14:textId="7EA38DC0" w:rsidR="000E0FCD" w:rsidRPr="006F6EC8" w:rsidRDefault="000F72F4" w:rsidP="004F4360">
            <w:r>
              <w:t>The protection of family and children is important</w:t>
            </w:r>
            <w:r w:rsidR="007604B8">
              <w:t xml:space="preserve"> </w:t>
            </w:r>
            <w:r w:rsidR="00476D92">
              <w:t>and is often expressed through concepts of family-inclusive care. This is important and valuable for many individuals and families. However, this needs to be balanced against other rights, including privacy</w:t>
            </w:r>
            <w:r w:rsidR="00BC6FFC">
              <w:t>. Guidance on how to balance these interests in line with Charter rights may be important.</w:t>
            </w:r>
          </w:p>
        </w:tc>
        <w:tc>
          <w:tcPr>
            <w:tcW w:w="890" w:type="dxa"/>
          </w:tcPr>
          <w:p w14:paraId="75186417" w14:textId="77777777" w:rsidR="000E0FCD" w:rsidRDefault="000E0FCD" w:rsidP="004F4360">
            <w:r>
              <w:rPr>
                <w:noProof/>
              </w:rPr>
              <w:drawing>
                <wp:inline distT="0" distB="0" distL="0" distR="0" wp14:anchorId="0EB26F29" wp14:editId="6E5F41FF">
                  <wp:extent cx="526774" cy="526774"/>
                  <wp:effectExtent l="0" t="0" r="6985" b="6985"/>
                  <wp:docPr id="269" name="Graphic 269"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7048" w:type="dxa"/>
          </w:tcPr>
          <w:p w14:paraId="43C4C3A3" w14:textId="569161A3" w:rsidR="000E0FCD" w:rsidRDefault="003F1AE2" w:rsidP="004F4360">
            <w:pPr>
              <w:pStyle w:val="Heading3-report"/>
            </w:pPr>
            <w:r>
              <w:t>Provide supports to families,</w:t>
            </w:r>
            <w:r w:rsidR="003F6D58">
              <w:t xml:space="preserve"> carers and supporters</w:t>
            </w:r>
            <w:r>
              <w:t xml:space="preserve"> rather than take away rights from consumers</w:t>
            </w:r>
          </w:p>
          <w:p w14:paraId="6E9212AA" w14:textId="3ED63180" w:rsidR="000E0FCD" w:rsidRPr="00861362" w:rsidRDefault="6D69D0D5" w:rsidP="004F4360">
            <w:r>
              <w:t>Often the needs of consumers and families, carers and supporters can appear in tension. This can result in decisions that balance a consumer’s autonomy with a family, carer or supporter’s needs. Such decisions may result in unnecessary limitations on consumer rights. It is important that greater supports are put in place to meet the needs of families, carers and supporters. This will meet their needs, while also avoiding unnecessary restrictions on consumer human rights.</w:t>
            </w:r>
          </w:p>
        </w:tc>
      </w:tr>
      <w:tr w:rsidR="003524C6" w14:paraId="2D90CD40" w14:textId="77777777" w:rsidTr="6D69D0D5">
        <w:tc>
          <w:tcPr>
            <w:tcW w:w="1056" w:type="dxa"/>
            <w:shd w:val="clear" w:color="auto" w:fill="auto"/>
          </w:tcPr>
          <w:p w14:paraId="3F619CA3" w14:textId="77777777" w:rsidR="000E0FCD" w:rsidRDefault="000E0FCD" w:rsidP="004F4360">
            <w:r>
              <w:rPr>
                <w:noProof/>
              </w:rPr>
              <w:drawing>
                <wp:inline distT="0" distB="0" distL="0" distR="0" wp14:anchorId="5773C620" wp14:editId="0F84A872">
                  <wp:extent cx="526774" cy="526774"/>
                  <wp:effectExtent l="0" t="0" r="6985" b="6985"/>
                  <wp:docPr id="270" name="Graphic 270"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6452" w:type="dxa"/>
          </w:tcPr>
          <w:p w14:paraId="1EC2E2DF" w14:textId="1AC4A708" w:rsidR="000E0FCD" w:rsidRDefault="00960793" w:rsidP="004F4360">
            <w:pPr>
              <w:pStyle w:val="Heading3-report"/>
            </w:pPr>
            <w:r>
              <w:t>Take extra care for the rights of childr</w:t>
            </w:r>
            <w:r w:rsidR="005E701C">
              <w:t>en</w:t>
            </w:r>
          </w:p>
          <w:p w14:paraId="35864DB1" w14:textId="6CAEF0D8" w:rsidR="000E0FCD" w:rsidRPr="005E2788" w:rsidRDefault="005E2788" w:rsidP="6D69D0D5">
            <w:pPr>
              <w:rPr>
                <w:highlight w:val="yellow"/>
              </w:rPr>
            </w:pPr>
            <w:r w:rsidRPr="005E2788">
              <w:t>Take proactive steps to think about how certain policies or practices could impact on children and young people. Their voices are rarely heard and their rights more vulnerable to limitation.</w:t>
            </w:r>
          </w:p>
        </w:tc>
        <w:tc>
          <w:tcPr>
            <w:tcW w:w="890" w:type="dxa"/>
          </w:tcPr>
          <w:p w14:paraId="7C5F607B" w14:textId="44C8D9B1" w:rsidR="000E0FCD" w:rsidRDefault="005E2788" w:rsidP="004F4360">
            <w:r>
              <w:rPr>
                <w:noProof/>
              </w:rPr>
              <w:drawing>
                <wp:inline distT="0" distB="0" distL="0" distR="0" wp14:anchorId="68543E94" wp14:editId="02F1A775">
                  <wp:extent cx="526774" cy="526774"/>
                  <wp:effectExtent l="0" t="0" r="6985" b="6985"/>
                  <wp:docPr id="2098995648" name="Graphic 2098995648"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7048" w:type="dxa"/>
          </w:tcPr>
          <w:p w14:paraId="72053F13" w14:textId="1134A83F" w:rsidR="000E0FCD" w:rsidRDefault="003524C6" w:rsidP="004F4360">
            <w:pPr>
              <w:pStyle w:val="Heading3-report"/>
            </w:pPr>
            <w:r>
              <w:t>Consider how mental health policies could impact rights in other settings</w:t>
            </w:r>
          </w:p>
          <w:p w14:paraId="4E51A76D" w14:textId="6BD97F7F" w:rsidR="000E0FCD" w:rsidRPr="00796694" w:rsidRDefault="003524C6" w:rsidP="004F4360">
            <w:r>
              <w:t>Perinatal mental health is an important area of concer</w:t>
            </w:r>
            <w:r w:rsidR="002A7E12">
              <w:t>n for policymakers</w:t>
            </w:r>
            <w:r>
              <w:t>, with some advocates calling for ‘universal screening’</w:t>
            </w:r>
            <w:r w:rsidR="000E0FCD">
              <w:t>.</w:t>
            </w:r>
            <w:r w:rsidR="002A7E12">
              <w:t xml:space="preserve"> Such policies screen all mothers for mental health and other issues during their pregnancy. </w:t>
            </w:r>
            <w:r w:rsidR="00153061">
              <w:t>These approaches</w:t>
            </w:r>
            <w:r w:rsidR="002A7E12">
              <w:t xml:space="preserve"> may bring more parents to the attention of child protection.</w:t>
            </w:r>
            <w:r w:rsidR="002C6CE6" w:rsidRPr="0091262D">
              <w:rPr>
                <w:rStyle w:val="FootnoteReference"/>
              </w:rPr>
              <w:footnoteReference w:id="139"/>
            </w:r>
            <w:r w:rsidR="002A7E12">
              <w:t xml:space="preserve"> </w:t>
            </w:r>
            <w:r w:rsidR="00DE30D8">
              <w:t xml:space="preserve">Sometimes this </w:t>
            </w:r>
            <w:r w:rsidR="00903EDA">
              <w:t xml:space="preserve">is because of stigma and assumptions made about mental health rather than </w:t>
            </w:r>
            <w:r w:rsidR="00E4187F">
              <w:t xml:space="preserve">specific </w:t>
            </w:r>
            <w:r w:rsidR="00903EDA">
              <w:t xml:space="preserve">risks to children. </w:t>
            </w:r>
            <w:r w:rsidR="004B37E6">
              <w:t>Such</w:t>
            </w:r>
            <w:r w:rsidR="009739A7">
              <w:t xml:space="preserve"> </w:t>
            </w:r>
            <w:r w:rsidR="00362C0C">
              <w:t xml:space="preserve">processes </w:t>
            </w:r>
            <w:r w:rsidR="00A22C73">
              <w:t>can result in a</w:t>
            </w:r>
            <w:r w:rsidR="002C6CE6">
              <w:t xml:space="preserve"> limitation on the</w:t>
            </w:r>
            <w:r w:rsidR="00C816A1">
              <w:t xml:space="preserve"> rights to equality and the</w:t>
            </w:r>
            <w:r w:rsidR="002C6CE6">
              <w:t xml:space="preserve"> protection of the family, and may disproportionately impact Aboriginal women.</w:t>
            </w:r>
            <w:r w:rsidR="00C95D45" w:rsidRPr="0091262D">
              <w:rPr>
                <w:rStyle w:val="FootnoteReference"/>
              </w:rPr>
              <w:footnoteReference w:id="140"/>
            </w:r>
            <w:r w:rsidR="00C95D45">
              <w:t xml:space="preserve"> It is important to carefully, with the </w:t>
            </w:r>
            <w:r w:rsidR="00362C0C">
              <w:t xml:space="preserve">affected </w:t>
            </w:r>
            <w:r w:rsidR="00C95D45">
              <w:t>communities, consider how mental health policy decisions could negatively impact human rights in non-mental health settings.</w:t>
            </w:r>
          </w:p>
        </w:tc>
      </w:tr>
    </w:tbl>
    <w:p w14:paraId="02B55843" w14:textId="77777777" w:rsidR="000E0FCD" w:rsidRDefault="000E0FCD" w:rsidP="008977F1">
      <w:pPr>
        <w:sectPr w:rsidR="000E0FCD" w:rsidSect="000E0FCD">
          <w:pgSz w:w="16838" w:h="11906" w:orient="landscape"/>
          <w:pgMar w:top="720" w:right="720" w:bottom="720" w:left="720" w:header="708" w:footer="708" w:gutter="0"/>
          <w:cols w:space="708"/>
          <w:titlePg/>
          <w:docGrid w:linePitch="360"/>
        </w:sectPr>
      </w:pPr>
    </w:p>
    <w:p w14:paraId="6DC7D92F" w14:textId="2212A3D2" w:rsidR="005B6F0A" w:rsidRDefault="00341FB5" w:rsidP="005B6F0A">
      <w:pPr>
        <w:pStyle w:val="Heading2-report"/>
        <w:rPr>
          <w:color w:val="FFFFFF" w:themeColor="background1"/>
          <w:sz w:val="72"/>
          <w:szCs w:val="72"/>
        </w:rPr>
      </w:pPr>
      <w:r>
        <w:rPr>
          <w:b w:val="0"/>
          <w:bCs w:val="0"/>
          <w:noProof/>
          <w:sz w:val="26"/>
          <w:szCs w:val="26"/>
        </w:rPr>
        <w:lastRenderedPageBreak/>
        <w:drawing>
          <wp:anchor distT="0" distB="0" distL="114300" distR="114300" simplePos="0" relativeHeight="251658310" behindDoc="0" locked="0" layoutInCell="1" allowOverlap="1" wp14:anchorId="40237F03" wp14:editId="69F0B6B4">
            <wp:simplePos x="0" y="0"/>
            <wp:positionH relativeFrom="margin">
              <wp:posOffset>-167640</wp:posOffset>
            </wp:positionH>
            <wp:positionV relativeFrom="paragraph">
              <wp:posOffset>-411480</wp:posOffset>
            </wp:positionV>
            <wp:extent cx="914400" cy="914400"/>
            <wp:effectExtent l="0" t="0" r="0" b="0"/>
            <wp:wrapNone/>
            <wp:docPr id="2098995653" name="Graphic 2098995653"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Raised hand with solid fill"/>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914400" cy="914400"/>
                    </a:xfrm>
                    <a:prstGeom prst="rect">
                      <a:avLst/>
                    </a:prstGeom>
                  </pic:spPr>
                </pic:pic>
              </a:graphicData>
            </a:graphic>
          </wp:anchor>
        </w:drawing>
      </w:r>
      <w:r w:rsidR="00B921EC" w:rsidRPr="00D31476">
        <w:rPr>
          <w:noProof/>
          <w:color w:val="FFFFFF" w:themeColor="background1"/>
          <w:sz w:val="16"/>
          <w:szCs w:val="16"/>
        </w:rPr>
        <mc:AlternateContent>
          <mc:Choice Requires="wps">
            <w:drawing>
              <wp:anchor distT="0" distB="0" distL="114300" distR="114300" simplePos="0" relativeHeight="251658309" behindDoc="1" locked="0" layoutInCell="1" allowOverlap="1" wp14:anchorId="579209AE" wp14:editId="3F3F67F3">
                <wp:simplePos x="0" y="0"/>
                <wp:positionH relativeFrom="page">
                  <wp:posOffset>0</wp:posOffset>
                </wp:positionH>
                <wp:positionV relativeFrom="paragraph">
                  <wp:posOffset>-915670</wp:posOffset>
                </wp:positionV>
                <wp:extent cx="7677150" cy="17016095"/>
                <wp:effectExtent l="0" t="0" r="19050" b="14605"/>
                <wp:wrapNone/>
                <wp:docPr id="2098995652" name="Rectangle 2098995652"/>
                <wp:cNvGraphicFramePr/>
                <a:graphic xmlns:a="http://schemas.openxmlformats.org/drawingml/2006/main">
                  <a:graphicData uri="http://schemas.microsoft.com/office/word/2010/wordprocessingShape">
                    <wps:wsp>
                      <wps:cNvSpPr/>
                      <wps:spPr>
                        <a:xfrm>
                          <a:off x="0" y="0"/>
                          <a:ext cx="7677150" cy="17016095"/>
                        </a:xfrm>
                        <a:prstGeom prst="rect">
                          <a:avLst/>
                        </a:prstGeom>
                        <a:solidFill>
                          <a:srgbClr val="20154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7A465EA" id="Rectangle 2098995652" o:spid="_x0000_s1026" style="position:absolute;margin-left:0;margin-top:-72.1pt;width:604.5pt;height:1339.85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" fillcolor="#201547" strokecolor="#1b383a [1604]" strokeweight="1pt">
                <w10:wrap anchorx="page"/>
              </v:rect>
            </w:pict>
          </mc:Fallback>
        </mc:AlternateContent>
      </w:r>
    </w:p>
    <w:p w14:paraId="26E3C35B" w14:textId="55A4FCA8" w:rsidR="005B6F0A" w:rsidRPr="000616E7" w:rsidRDefault="00FE1B15" w:rsidP="005B6F0A">
      <w:pPr>
        <w:pStyle w:val="Heading2-report"/>
        <w:rPr>
          <w:color w:val="FFFFFF" w:themeColor="background1"/>
          <w:sz w:val="72"/>
          <w:szCs w:val="72"/>
        </w:rPr>
      </w:pPr>
      <w:r>
        <w:rPr>
          <w:color w:val="FFFFFF" w:themeColor="background1"/>
          <w:sz w:val="72"/>
          <w:szCs w:val="72"/>
        </w:rPr>
        <w:t>BALANCING RIGHTS AND INTERESTS IN FAMILIES</w:t>
      </w:r>
    </w:p>
    <w:p w14:paraId="0ACA4777" w14:textId="3DD25B37" w:rsidR="005B6F0A" w:rsidRDefault="00FE1B15" w:rsidP="005B6F0A">
      <w:pPr>
        <w:rPr>
          <w:b/>
          <w:bCs/>
          <w:color w:val="FFFFFF" w:themeColor="background1"/>
          <w:sz w:val="26"/>
          <w:szCs w:val="26"/>
        </w:rPr>
      </w:pPr>
      <w:r>
        <w:rPr>
          <w:b/>
          <w:bCs/>
          <w:color w:val="FFFFFF" w:themeColor="background1"/>
          <w:sz w:val="26"/>
          <w:szCs w:val="26"/>
        </w:rPr>
        <w:t>ENSURING THAT DIVISION STAFF UTILISE A CHARTER-BASED APPROACH TO BALANCE THE RIGHTS AND NEEDS OF CONSUMERS AND FAMILIES, CARERS AND SUPPORTERS.</w:t>
      </w:r>
    </w:p>
    <w:p w14:paraId="4D6042A8" w14:textId="23622ADF" w:rsidR="004E5073" w:rsidRDefault="00522055" w:rsidP="001034EC">
      <w:pPr>
        <w:rPr>
          <w:color w:val="FFFFFF" w:themeColor="background1"/>
        </w:rPr>
      </w:pPr>
      <w:r>
        <w:rPr>
          <w:color w:val="FFFFFF" w:themeColor="background1"/>
        </w:rPr>
        <w:t xml:space="preserve">Human rights sometimes need balancing between consumers and families, carers and supporters. </w:t>
      </w:r>
      <w:r w:rsidR="00E72F49">
        <w:rPr>
          <w:color w:val="FFFFFF" w:themeColor="background1"/>
        </w:rPr>
        <w:t>An example of this is on policies and decisions that</w:t>
      </w:r>
      <w:r w:rsidR="00CE77C2">
        <w:rPr>
          <w:color w:val="FFFFFF" w:themeColor="background1"/>
        </w:rPr>
        <w:t xml:space="preserve"> </w:t>
      </w:r>
      <w:r w:rsidR="00B62CC4">
        <w:rPr>
          <w:color w:val="FFFFFF" w:themeColor="background1"/>
        </w:rPr>
        <w:t xml:space="preserve">relate to </w:t>
      </w:r>
      <w:r w:rsidR="005874BA">
        <w:rPr>
          <w:color w:val="FFFFFF" w:themeColor="background1"/>
        </w:rPr>
        <w:t>a designated mental health service disclosing a</w:t>
      </w:r>
      <w:r w:rsidR="00B62CC4">
        <w:rPr>
          <w:color w:val="FFFFFF" w:themeColor="background1"/>
        </w:rPr>
        <w:t xml:space="preserve"> consumer</w:t>
      </w:r>
      <w:r w:rsidR="005874BA">
        <w:rPr>
          <w:color w:val="FFFFFF" w:themeColor="background1"/>
        </w:rPr>
        <w:t>’s</w:t>
      </w:r>
      <w:r w:rsidR="00B62CC4">
        <w:rPr>
          <w:color w:val="FFFFFF" w:themeColor="background1"/>
        </w:rPr>
        <w:t xml:space="preserve"> health information without </w:t>
      </w:r>
      <w:r w:rsidR="005874BA">
        <w:rPr>
          <w:color w:val="FFFFFF" w:themeColor="background1"/>
        </w:rPr>
        <w:t xml:space="preserve">their </w:t>
      </w:r>
      <w:r w:rsidR="00B62CC4">
        <w:rPr>
          <w:color w:val="FFFFFF" w:themeColor="background1"/>
        </w:rPr>
        <w:t>consent. Doing so engages the right to equal protection from the law (section 8)</w:t>
      </w:r>
      <w:r w:rsidR="00061A5C">
        <w:rPr>
          <w:color w:val="FFFFFF" w:themeColor="background1"/>
        </w:rPr>
        <w:t xml:space="preserve"> and</w:t>
      </w:r>
      <w:r w:rsidR="00B62CC4">
        <w:rPr>
          <w:color w:val="FFFFFF" w:themeColor="background1"/>
        </w:rPr>
        <w:t xml:space="preserve"> the right to privacy (section 13) among others. </w:t>
      </w:r>
      <w:r w:rsidR="00251528">
        <w:rPr>
          <w:color w:val="FFFFFF" w:themeColor="background1"/>
        </w:rPr>
        <w:t xml:space="preserve">For carers, family members and supporters, the right to information under freedom of expression (section 15) and the right to family (section 17) may be engaged. Specific laws </w:t>
      </w:r>
      <w:r w:rsidR="009770F7">
        <w:rPr>
          <w:color w:val="FFFFFF" w:themeColor="background1"/>
        </w:rPr>
        <w:t xml:space="preserve">about </w:t>
      </w:r>
      <w:r w:rsidR="00E21D3C">
        <w:rPr>
          <w:color w:val="FFFFFF" w:themeColor="background1"/>
        </w:rPr>
        <w:t xml:space="preserve">the disclosure of </w:t>
      </w:r>
      <w:r w:rsidR="009770F7">
        <w:rPr>
          <w:color w:val="FFFFFF" w:themeColor="background1"/>
        </w:rPr>
        <w:t xml:space="preserve">consumer </w:t>
      </w:r>
      <w:r w:rsidR="00E21D3C">
        <w:rPr>
          <w:color w:val="FFFFFF" w:themeColor="background1"/>
        </w:rPr>
        <w:t>information</w:t>
      </w:r>
      <w:r w:rsidR="00DC7CCE">
        <w:rPr>
          <w:color w:val="FFFFFF" w:themeColor="background1"/>
        </w:rPr>
        <w:t xml:space="preserve"> </w:t>
      </w:r>
      <w:r w:rsidR="00251528">
        <w:rPr>
          <w:color w:val="FFFFFF" w:themeColor="background1"/>
        </w:rPr>
        <w:t xml:space="preserve">are outlined under sections </w:t>
      </w:r>
      <w:r w:rsidR="00055667">
        <w:rPr>
          <w:color w:val="FFFFFF" w:themeColor="background1"/>
        </w:rPr>
        <w:t xml:space="preserve">729 to 734 of the Mental Health and Wellbeing Act. However, there may be </w:t>
      </w:r>
      <w:r w:rsidR="004E5073">
        <w:rPr>
          <w:color w:val="FFFFFF" w:themeColor="background1"/>
        </w:rPr>
        <w:t xml:space="preserve">need for the Division to provide guidance about how to give effect to these duties. The Charter </w:t>
      </w:r>
      <w:r w:rsidR="0066228F">
        <w:rPr>
          <w:color w:val="FFFFFF" w:themeColor="background1"/>
        </w:rPr>
        <w:t>applies concurrently with mental health laws and can help the Division develop guidance.</w:t>
      </w:r>
    </w:p>
    <w:p w14:paraId="2C16CAB0" w14:textId="093EC113" w:rsidR="004653CD" w:rsidRDefault="004E5073" w:rsidP="004653CD">
      <w:pPr>
        <w:pStyle w:val="Heading2-report"/>
        <w:rPr>
          <w:color w:val="FFFFFF" w:themeColor="background1"/>
        </w:rPr>
      </w:pPr>
      <w:r w:rsidRPr="00624DE1">
        <w:rPr>
          <w:i/>
          <w:iCs/>
          <w:color w:val="FFFFFF" w:themeColor="background1"/>
        </w:rPr>
        <w:t>Forecast</w:t>
      </w:r>
      <w:r w:rsidR="00624DE1">
        <w:rPr>
          <w:color w:val="FFFFFF" w:themeColor="background1"/>
        </w:rPr>
        <w:t xml:space="preserve"> the impacts of today’s decision</w:t>
      </w:r>
    </w:p>
    <w:p w14:paraId="1A5D0ABB" w14:textId="038BED70" w:rsidR="00624DE1" w:rsidRDefault="004653CD" w:rsidP="004653CD">
      <w:pPr>
        <w:rPr>
          <w:color w:val="FFFFFF" w:themeColor="background1"/>
        </w:rPr>
      </w:pPr>
      <w:r w:rsidRPr="004653CD">
        <w:rPr>
          <w:color w:val="FFFFFF" w:themeColor="background1"/>
        </w:rPr>
        <w:t xml:space="preserve">If you were beginning </w:t>
      </w:r>
      <w:r w:rsidR="00412282">
        <w:rPr>
          <w:color w:val="FFFFFF" w:themeColor="background1"/>
        </w:rPr>
        <w:t>a process to consider policies and guidance about the sharing of consumer information</w:t>
      </w:r>
      <w:r w:rsidRPr="004653CD">
        <w:rPr>
          <w:color w:val="FFFFFF" w:themeColor="background1"/>
        </w:rPr>
        <w:t>, you would ask yourself ‘</w:t>
      </w:r>
      <w:r w:rsidRPr="005874BA">
        <w:rPr>
          <w:b/>
          <w:bCs/>
          <w:color w:val="FFFFFF" w:themeColor="background1"/>
        </w:rPr>
        <w:t>who is the person(s) at the end of this decision</w:t>
      </w:r>
      <w:r w:rsidRPr="004653CD">
        <w:rPr>
          <w:color w:val="FFFFFF" w:themeColor="background1"/>
        </w:rPr>
        <w:t>?</w:t>
      </w:r>
      <w:r w:rsidR="00A02D41">
        <w:rPr>
          <w:color w:val="FFFFFF" w:themeColor="background1"/>
        </w:rPr>
        <w:t>’</w:t>
      </w:r>
      <w:r>
        <w:rPr>
          <w:color w:val="FFFFFF" w:themeColor="background1"/>
        </w:rPr>
        <w:t xml:space="preserve"> In this scenario, it is predominantly the consumer</w:t>
      </w:r>
      <w:r w:rsidR="00151536">
        <w:rPr>
          <w:color w:val="FFFFFF" w:themeColor="background1"/>
        </w:rPr>
        <w:t xml:space="preserve">, as a range of their human rights are engaged and limited by </w:t>
      </w:r>
      <w:r w:rsidR="005874BA">
        <w:rPr>
          <w:color w:val="FFFFFF" w:themeColor="background1"/>
        </w:rPr>
        <w:t>a designated mental health system.</w:t>
      </w:r>
      <w:r>
        <w:rPr>
          <w:color w:val="FFFFFF" w:themeColor="background1"/>
        </w:rPr>
        <w:t xml:space="preserve"> </w:t>
      </w:r>
      <w:r w:rsidR="005874BA">
        <w:rPr>
          <w:color w:val="FFFFFF" w:themeColor="background1"/>
        </w:rPr>
        <w:t>Second to this would be</w:t>
      </w:r>
      <w:r>
        <w:rPr>
          <w:color w:val="FFFFFF" w:themeColor="background1"/>
        </w:rPr>
        <w:t xml:space="preserve"> their family member, </w:t>
      </w:r>
      <w:r w:rsidR="005874BA">
        <w:rPr>
          <w:color w:val="FFFFFF" w:themeColor="background1"/>
        </w:rPr>
        <w:t>carer,</w:t>
      </w:r>
      <w:r>
        <w:rPr>
          <w:color w:val="FFFFFF" w:themeColor="background1"/>
        </w:rPr>
        <w:t xml:space="preserve"> </w:t>
      </w:r>
      <w:r w:rsidR="005874BA">
        <w:rPr>
          <w:color w:val="FFFFFF" w:themeColor="background1"/>
        </w:rPr>
        <w:t>or</w:t>
      </w:r>
      <w:r>
        <w:rPr>
          <w:color w:val="FFFFFF" w:themeColor="background1"/>
        </w:rPr>
        <w:t xml:space="preserve"> supporter.</w:t>
      </w:r>
      <w:r w:rsidR="00A02D41">
        <w:rPr>
          <w:color w:val="FFFFFF" w:themeColor="background1"/>
        </w:rPr>
        <w:t xml:space="preserve"> You may </w:t>
      </w:r>
      <w:r w:rsidR="00A02D41" w:rsidRPr="005874BA">
        <w:rPr>
          <w:b/>
          <w:bCs/>
          <w:color w:val="FFFFFF" w:themeColor="background1"/>
        </w:rPr>
        <w:t>reach out to lived experience workforce expertise</w:t>
      </w:r>
      <w:r w:rsidR="00A02D41">
        <w:rPr>
          <w:color w:val="FFFFFF" w:themeColor="background1"/>
        </w:rPr>
        <w:t xml:space="preserve"> internally to identify what is happening ‘on the ground’ when such decisions are made? </w:t>
      </w:r>
      <w:r w:rsidR="00624DE1">
        <w:rPr>
          <w:color w:val="FFFFFF" w:themeColor="background1"/>
        </w:rPr>
        <w:t>How does this impact individuals, positively or negatively?</w:t>
      </w:r>
    </w:p>
    <w:p w14:paraId="627A5042" w14:textId="77777777" w:rsidR="00E17D4C" w:rsidRDefault="00624DE1" w:rsidP="00624DE1">
      <w:pPr>
        <w:pStyle w:val="Heading2-report"/>
        <w:rPr>
          <w:color w:val="FFFFFF" w:themeColor="background1"/>
        </w:rPr>
      </w:pPr>
      <w:r w:rsidRPr="00624DE1">
        <w:rPr>
          <w:i/>
          <w:iCs/>
          <w:color w:val="FFFFFF" w:themeColor="background1"/>
        </w:rPr>
        <w:t>Assess</w:t>
      </w:r>
      <w:r>
        <w:rPr>
          <w:i/>
          <w:iCs/>
          <w:color w:val="FFFFFF" w:themeColor="background1"/>
        </w:rPr>
        <w:t xml:space="preserve"> </w:t>
      </w:r>
      <w:r w:rsidR="00E83940">
        <w:rPr>
          <w:color w:val="FFFFFF" w:themeColor="background1"/>
        </w:rPr>
        <w:t>the human rights situation</w:t>
      </w:r>
    </w:p>
    <w:p w14:paraId="55CB7CFB" w14:textId="577C55C0" w:rsidR="0089583E" w:rsidRDefault="00E17D4C" w:rsidP="00E17D4C">
      <w:pPr>
        <w:rPr>
          <w:color w:val="FFFFFF" w:themeColor="background1"/>
        </w:rPr>
      </w:pPr>
      <w:r>
        <w:rPr>
          <w:color w:val="FFFFFF" w:themeColor="background1"/>
        </w:rPr>
        <w:t xml:space="preserve">You may examine the </w:t>
      </w:r>
      <w:r w:rsidRPr="005874BA">
        <w:rPr>
          <w:b/>
          <w:bCs/>
          <w:color w:val="FFFFFF" w:themeColor="background1"/>
        </w:rPr>
        <w:t>human rights context and history</w:t>
      </w:r>
      <w:r>
        <w:rPr>
          <w:color w:val="FFFFFF" w:themeColor="background1"/>
        </w:rPr>
        <w:t xml:space="preserve">. Consumers have historically been excluded from most aspects of their own care and had limited </w:t>
      </w:r>
      <w:r w:rsidR="00B41768">
        <w:rPr>
          <w:color w:val="FFFFFF" w:themeColor="background1"/>
        </w:rPr>
        <w:t xml:space="preserve">control over how their health information has been communicated. These institutionalising features mean that past and possibly </w:t>
      </w:r>
      <w:r w:rsidR="00B41768" w:rsidRPr="003D4BA6">
        <w:rPr>
          <w:b/>
          <w:bCs/>
          <w:color w:val="FFFFFF" w:themeColor="background1"/>
        </w:rPr>
        <w:t xml:space="preserve">current practices limit </w:t>
      </w:r>
      <w:r w:rsidR="003D4BA6" w:rsidRPr="003D4BA6">
        <w:rPr>
          <w:b/>
          <w:bCs/>
          <w:color w:val="FFFFFF" w:themeColor="background1"/>
        </w:rPr>
        <w:t>human rights</w:t>
      </w:r>
      <w:r w:rsidR="003D4BA6">
        <w:rPr>
          <w:color w:val="FFFFFF" w:themeColor="background1"/>
        </w:rPr>
        <w:t xml:space="preserve"> such as the </w:t>
      </w:r>
      <w:r w:rsidR="00B41768">
        <w:rPr>
          <w:color w:val="FFFFFF" w:themeColor="background1"/>
        </w:rPr>
        <w:t>right to equality (section 8) and the right to privacy (section 13). This is within the context of several other rights limitations.</w:t>
      </w:r>
      <w:r w:rsidR="007214A7">
        <w:rPr>
          <w:color w:val="FFFFFF" w:themeColor="background1"/>
        </w:rPr>
        <w:t xml:space="preserve"> </w:t>
      </w:r>
      <w:r w:rsidR="00D82D48">
        <w:rPr>
          <w:color w:val="FFFFFF" w:themeColor="background1"/>
        </w:rPr>
        <w:t>For families, carers and supporters, there has been evidence that they have been given no information to support them in their role which has left them feeling lost.</w:t>
      </w:r>
      <w:r w:rsidR="000D19C6">
        <w:rPr>
          <w:color w:val="FFFFFF" w:themeColor="background1"/>
        </w:rPr>
        <w:t xml:space="preserve"> Sometimes this </w:t>
      </w:r>
      <w:r w:rsidR="00874084" w:rsidRPr="00D31476">
        <w:rPr>
          <w:noProof/>
          <w:color w:val="FFFFFF" w:themeColor="background1"/>
          <w:sz w:val="16"/>
          <w:szCs w:val="16"/>
        </w:rPr>
        <w:lastRenderedPageBreak/>
        <mc:AlternateContent>
          <mc:Choice Requires="wps">
            <w:drawing>
              <wp:anchor distT="0" distB="0" distL="114300" distR="114300" simplePos="0" relativeHeight="251660359" behindDoc="1" locked="0" layoutInCell="1" allowOverlap="1" wp14:anchorId="110278F9" wp14:editId="57F286E2">
                <wp:simplePos x="0" y="0"/>
                <wp:positionH relativeFrom="page">
                  <wp:align>left</wp:align>
                </wp:positionH>
                <wp:positionV relativeFrom="paragraph">
                  <wp:posOffset>-913511</wp:posOffset>
                </wp:positionV>
                <wp:extent cx="7677150" cy="17016095"/>
                <wp:effectExtent l="0" t="0" r="19050" b="14605"/>
                <wp:wrapNone/>
                <wp:docPr id="5" name="Rectangle 5"/>
                <wp:cNvGraphicFramePr/>
                <a:graphic xmlns:a="http://schemas.openxmlformats.org/drawingml/2006/main">
                  <a:graphicData uri="http://schemas.microsoft.com/office/word/2010/wordprocessingShape">
                    <wps:wsp>
                      <wps:cNvSpPr/>
                      <wps:spPr>
                        <a:xfrm>
                          <a:off x="0" y="0"/>
                          <a:ext cx="7677150" cy="17016095"/>
                        </a:xfrm>
                        <a:prstGeom prst="rect">
                          <a:avLst/>
                        </a:prstGeom>
                        <a:solidFill>
                          <a:srgbClr val="20154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BA9F21B" id="Rectangle 5" o:spid="_x0000_s1026" style="position:absolute;margin-left:0;margin-top:-71.95pt;width:604.5pt;height:1339.85pt;z-index:-25165612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" fillcolor="#201547" strokecolor="#1b383a [1604]" strokeweight="1pt">
                <w10:wrap anchorx="page"/>
              </v:rect>
            </w:pict>
          </mc:Fallback>
        </mc:AlternateContent>
      </w:r>
      <w:r w:rsidR="000D19C6">
        <w:rPr>
          <w:color w:val="FFFFFF" w:themeColor="background1"/>
        </w:rPr>
        <w:t>has meant families, carers and supporters have been denied general information and education as well as personal information about the person they care for.</w:t>
      </w:r>
    </w:p>
    <w:p w14:paraId="6B003632" w14:textId="5FC9D57B" w:rsidR="0089583E" w:rsidRPr="00C50A82" w:rsidRDefault="0089583E" w:rsidP="0089583E">
      <w:pPr>
        <w:pStyle w:val="Heading2-report"/>
        <w:rPr>
          <w:color w:val="FFFFFF" w:themeColor="background1"/>
        </w:rPr>
      </w:pPr>
      <w:r w:rsidRPr="0089583E">
        <w:rPr>
          <w:i/>
          <w:iCs/>
          <w:color w:val="FFFFFF" w:themeColor="background1"/>
        </w:rPr>
        <w:t>Decide</w:t>
      </w:r>
      <w:r w:rsidRPr="0089583E">
        <w:rPr>
          <w:color w:val="FFFFFF" w:themeColor="background1"/>
        </w:rPr>
        <w:t xml:space="preserve"> on how to proceed</w:t>
      </w:r>
    </w:p>
    <w:p w14:paraId="4F347639" w14:textId="5EC57091" w:rsidR="0066228F" w:rsidRDefault="00C50A82" w:rsidP="0066228F">
      <w:pPr>
        <w:rPr>
          <w:color w:val="FFFFFF" w:themeColor="background1"/>
        </w:rPr>
      </w:pPr>
      <w:r w:rsidRPr="00C50A82">
        <w:rPr>
          <w:color w:val="FFFFFF" w:themeColor="background1"/>
        </w:rPr>
        <w:t>Simply by</w:t>
      </w:r>
      <w:r>
        <w:rPr>
          <w:color w:val="FFFFFF" w:themeColor="background1"/>
        </w:rPr>
        <w:t xml:space="preserve"> </w:t>
      </w:r>
      <w:r w:rsidRPr="00C50A82">
        <w:rPr>
          <w:color w:val="FFFFFF" w:themeColor="background1"/>
        </w:rPr>
        <w:t xml:space="preserve">grounding </w:t>
      </w:r>
      <w:r>
        <w:rPr>
          <w:color w:val="FFFFFF" w:themeColor="background1"/>
        </w:rPr>
        <w:t xml:space="preserve">any advice from the Division in the context of the Charter, there will be opportunities to </w:t>
      </w:r>
      <w:r>
        <w:rPr>
          <w:b/>
          <w:bCs/>
          <w:color w:val="FFFFFF" w:themeColor="background1"/>
        </w:rPr>
        <w:t>promote</w:t>
      </w:r>
      <w:r>
        <w:rPr>
          <w:color w:val="FFFFFF" w:themeColor="background1"/>
        </w:rPr>
        <w:t xml:space="preserve"> human rights. </w:t>
      </w:r>
      <w:r w:rsidR="006674FA">
        <w:rPr>
          <w:b/>
          <w:bCs/>
          <w:color w:val="FFFFFF" w:themeColor="background1"/>
        </w:rPr>
        <w:t xml:space="preserve">Complying </w:t>
      </w:r>
      <w:r w:rsidR="006674FA">
        <w:rPr>
          <w:color w:val="FFFFFF" w:themeColor="background1"/>
        </w:rPr>
        <w:t xml:space="preserve">with human rights will require the Division’s advice to </w:t>
      </w:r>
      <w:r w:rsidR="006674FA">
        <w:rPr>
          <w:b/>
          <w:bCs/>
          <w:color w:val="FFFFFF" w:themeColor="background1"/>
        </w:rPr>
        <w:t xml:space="preserve">balance </w:t>
      </w:r>
      <w:r w:rsidR="006674FA">
        <w:rPr>
          <w:color w:val="FFFFFF" w:themeColor="background1"/>
        </w:rPr>
        <w:t xml:space="preserve">competing rights and interests and choose the least restrictive option possible. </w:t>
      </w:r>
    </w:p>
    <w:p w14:paraId="7FBD8274" w14:textId="62373C3E" w:rsidR="009656FE" w:rsidRDefault="00DC1877" w:rsidP="0066228F">
      <w:pPr>
        <w:rPr>
          <w:color w:val="FFFFFF" w:themeColor="background1"/>
        </w:rPr>
      </w:pPr>
      <w:r>
        <w:rPr>
          <w:color w:val="FFFFFF" w:themeColor="background1"/>
        </w:rPr>
        <w:t>The most likely outcome of this would be a policy that maximises mental health consumer autonomy and privacy</w:t>
      </w:r>
      <w:r w:rsidR="007A1223">
        <w:rPr>
          <w:color w:val="FFFFFF" w:themeColor="background1"/>
        </w:rPr>
        <w:t xml:space="preserve">, given the significance of the rights limitations posed by non-consensually disclosing health information. The Division may choose to consider exceptions for this scenario where there are no less restrictive options to </w:t>
      </w:r>
      <w:r w:rsidR="00EC4E84">
        <w:rPr>
          <w:color w:val="FFFFFF" w:themeColor="background1"/>
        </w:rPr>
        <w:t xml:space="preserve">address a particular issue. </w:t>
      </w:r>
      <w:r w:rsidR="00F9308F">
        <w:rPr>
          <w:color w:val="FFFFFF" w:themeColor="background1"/>
        </w:rPr>
        <w:t xml:space="preserve">In balancing these rights, the advice may also indicate that services should still provide general information and support to family members, carers and supporters. </w:t>
      </w:r>
      <w:r w:rsidR="009656FE">
        <w:rPr>
          <w:color w:val="FFFFFF" w:themeColor="background1"/>
        </w:rPr>
        <w:t>General information may relate to</w:t>
      </w:r>
      <w:r w:rsidR="003E61A6">
        <w:rPr>
          <w:color w:val="FFFFFF" w:themeColor="background1"/>
        </w:rPr>
        <w:t xml:space="preserve"> questions family members, carers</w:t>
      </w:r>
      <w:r w:rsidR="00B2475C">
        <w:rPr>
          <w:color w:val="FFFFFF" w:themeColor="background1"/>
        </w:rPr>
        <w:t xml:space="preserve"> ad supporters</w:t>
      </w:r>
      <w:r w:rsidR="003E61A6">
        <w:rPr>
          <w:color w:val="FFFFFF" w:themeColor="background1"/>
        </w:rPr>
        <w:t xml:space="preserve"> may have about</w:t>
      </w:r>
      <w:r w:rsidR="009656FE">
        <w:rPr>
          <w:color w:val="FFFFFF" w:themeColor="background1"/>
        </w:rPr>
        <w:t xml:space="preserve"> medications or specific diagnoses, without disclosing any aspects of a person’s care. Support may come in the form of carer peer support services within the service or external referrals to carer support agencies. Doing so enables some expression of these rights while balancing them against more severe restrictions on consumer rights.</w:t>
      </w:r>
    </w:p>
    <w:p w14:paraId="7B0ACEC6" w14:textId="38B69B64" w:rsidR="009656FE" w:rsidRPr="009656FE" w:rsidRDefault="009656FE" w:rsidP="0066228F">
      <w:pPr>
        <w:rPr>
          <w:color w:val="FFFFFF" w:themeColor="background1"/>
        </w:rPr>
      </w:pPr>
      <w:r>
        <w:rPr>
          <w:b/>
          <w:bCs/>
          <w:color w:val="FFFFFF" w:themeColor="background1"/>
        </w:rPr>
        <w:t>Documenting</w:t>
      </w:r>
      <w:r>
        <w:rPr>
          <w:color w:val="FFFFFF" w:themeColor="background1"/>
        </w:rPr>
        <w:t xml:space="preserve"> and communicating these</w:t>
      </w:r>
      <w:r w:rsidR="00041B40">
        <w:rPr>
          <w:color w:val="FFFFFF" w:themeColor="background1"/>
        </w:rPr>
        <w:t xml:space="preserve"> </w:t>
      </w:r>
      <w:r w:rsidR="004D35F4">
        <w:rPr>
          <w:color w:val="FFFFFF" w:themeColor="background1"/>
        </w:rPr>
        <w:t xml:space="preserve">decision-making processes will be crucial, and would easily be achieved by reflecting the reasoning in </w:t>
      </w:r>
      <w:r w:rsidR="007E418F">
        <w:rPr>
          <w:color w:val="FFFFFF" w:themeColor="background1"/>
        </w:rPr>
        <w:t>the policy. In the case of a practitioner</w:t>
      </w:r>
      <w:r w:rsidR="00B2475C">
        <w:rPr>
          <w:color w:val="FFFFFF" w:themeColor="background1"/>
        </w:rPr>
        <w:t>,</w:t>
      </w:r>
      <w:r w:rsidR="007E418F">
        <w:rPr>
          <w:color w:val="FFFFFF" w:themeColor="background1"/>
        </w:rPr>
        <w:t xml:space="preserve"> it would be briefly documented in clinical notes.</w:t>
      </w:r>
    </w:p>
    <w:p w14:paraId="6D9E87A6" w14:textId="31EF6264" w:rsidR="004653CD" w:rsidRPr="00624DE1" w:rsidRDefault="00A02D41" w:rsidP="0089583E">
      <w:r w:rsidRPr="00624DE1">
        <w:t xml:space="preserve"> </w:t>
      </w:r>
    </w:p>
    <w:p w14:paraId="0F448E4F" w14:textId="579C6DBD" w:rsidR="008150D4" w:rsidRPr="00A64439" w:rsidRDefault="008150D4" w:rsidP="00A64439">
      <w:pPr>
        <w:rPr>
          <w:color w:val="FFFFFF" w:themeColor="background1"/>
        </w:rPr>
      </w:pPr>
      <w:r>
        <w:br/>
      </w:r>
    </w:p>
    <w:p w14:paraId="4E842460" w14:textId="77777777" w:rsidR="00FE1B15" w:rsidRDefault="00FE1B15" w:rsidP="005B6F0A">
      <w:pPr>
        <w:rPr>
          <w:b/>
          <w:bCs/>
          <w:color w:val="FFFFFF" w:themeColor="background1"/>
          <w:sz w:val="26"/>
          <w:szCs w:val="26"/>
        </w:rPr>
      </w:pPr>
    </w:p>
    <w:p w14:paraId="594C7B74" w14:textId="6749CE0D" w:rsidR="005B6F0A" w:rsidRDefault="005B6F0A" w:rsidP="005B6F0A">
      <w:pPr>
        <w:pStyle w:val="Heading1-report"/>
      </w:pPr>
      <w:r>
        <w:br w:type="page"/>
      </w:r>
    </w:p>
    <w:p w14:paraId="0FE95F12" w14:textId="52C48C70" w:rsidR="00A9204B" w:rsidRDefault="0086492A" w:rsidP="00674481">
      <w:pPr>
        <w:pStyle w:val="Heading1-report"/>
        <w:spacing w:before="0"/>
        <w:ind w:left="720" w:firstLine="720"/>
      </w:pPr>
      <w:r>
        <w:rPr>
          <w:noProof/>
        </w:rPr>
        <w:lastRenderedPageBreak/>
        <w:drawing>
          <wp:anchor distT="0" distB="0" distL="114300" distR="114300" simplePos="0" relativeHeight="251658271" behindDoc="0" locked="0" layoutInCell="1" allowOverlap="1" wp14:anchorId="57A54029" wp14:editId="4C522C64">
            <wp:simplePos x="0" y="0"/>
            <wp:positionH relativeFrom="margin">
              <wp:align>left</wp:align>
            </wp:positionH>
            <wp:positionV relativeFrom="paragraph">
              <wp:posOffset>5080</wp:posOffset>
            </wp:positionV>
            <wp:extent cx="647700" cy="647700"/>
            <wp:effectExtent l="0" t="0" r="0" b="0"/>
            <wp:wrapNone/>
            <wp:docPr id="217" name="Picture 217" descr="Public podium or lec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217" descr="Public podium or lecturn"/>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04B">
        <w:t>Taking part in public life (section 18)</w:t>
      </w:r>
    </w:p>
    <w:p w14:paraId="4A22AAD5" w14:textId="3D5B26E0" w:rsidR="00703758" w:rsidRDefault="006619C1" w:rsidP="00703758">
      <w:r>
        <w:rPr>
          <w:noProof/>
        </w:rPr>
        <mc:AlternateContent>
          <mc:Choice Requires="wps">
            <w:drawing>
              <wp:anchor distT="45720" distB="45720" distL="114300" distR="114300" simplePos="0" relativeHeight="251658298" behindDoc="0" locked="0" layoutInCell="1" allowOverlap="1" wp14:anchorId="4086BF1B" wp14:editId="5E1E5F6E">
                <wp:simplePos x="0" y="0"/>
                <wp:positionH relativeFrom="margin">
                  <wp:align>right</wp:align>
                </wp:positionH>
                <wp:positionV relativeFrom="paragraph">
                  <wp:posOffset>484505</wp:posOffset>
                </wp:positionV>
                <wp:extent cx="5735955" cy="1404620"/>
                <wp:effectExtent l="0" t="0" r="17145" b="13970"/>
                <wp:wrapSquare wrapText="bothSides"/>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404620"/>
                        </a:xfrm>
                        <a:prstGeom prst="rect">
                          <a:avLst/>
                        </a:prstGeom>
                        <a:solidFill>
                          <a:srgbClr val="201547"/>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83BFD51" w14:textId="6AECFFC1" w:rsidR="006619C1" w:rsidRPr="006619C1" w:rsidRDefault="006619C1" w:rsidP="006619C1">
                            <w:pPr>
                              <w:pStyle w:val="Heading3-report"/>
                              <w:rPr>
                                <w:color w:val="FFFFFF" w:themeColor="background1"/>
                              </w:rPr>
                            </w:pPr>
                            <w:r w:rsidRPr="006619C1">
                              <w:rPr>
                                <w:color w:val="FFFFFF" w:themeColor="background1"/>
                              </w:rPr>
                              <w:t>Section 18 Taking part in public life</w:t>
                            </w:r>
                          </w:p>
                          <w:p w14:paraId="60720249" w14:textId="77777777" w:rsidR="006619C1" w:rsidRPr="006619C1" w:rsidRDefault="006619C1" w:rsidP="00E225B4">
                            <w:pPr>
                              <w:pStyle w:val="ListParagraph"/>
                              <w:numPr>
                                <w:ilvl w:val="0"/>
                                <w:numId w:val="21"/>
                              </w:numPr>
                              <w:rPr>
                                <w:color w:val="FFFFFF" w:themeColor="background1"/>
                              </w:rPr>
                            </w:pPr>
                            <w:r w:rsidRPr="006619C1">
                              <w:rPr>
                                <w:color w:val="FFFFFF" w:themeColor="background1"/>
                              </w:rPr>
                              <w:t>Every person in Victoria has the right, and is to have the opportunity without discrimination, to participate in the conduct of public affairs, directly or through freely chosen representatives.</w:t>
                            </w:r>
                          </w:p>
                          <w:p w14:paraId="10CEA003" w14:textId="77777777" w:rsidR="006619C1" w:rsidRPr="006619C1" w:rsidRDefault="006619C1" w:rsidP="00E225B4">
                            <w:pPr>
                              <w:pStyle w:val="ListParagraph"/>
                              <w:numPr>
                                <w:ilvl w:val="0"/>
                                <w:numId w:val="21"/>
                              </w:numPr>
                              <w:rPr>
                                <w:color w:val="FFFFFF" w:themeColor="background1"/>
                              </w:rPr>
                            </w:pPr>
                            <w:r w:rsidRPr="006619C1">
                              <w:rPr>
                                <w:color w:val="FFFFFF" w:themeColor="background1"/>
                              </w:rPr>
                              <w:t>Every eligible person has the right, and is to have the opportunity, without discrimination —</w:t>
                            </w:r>
                          </w:p>
                          <w:p w14:paraId="64900F2B" w14:textId="77777777" w:rsidR="006619C1" w:rsidRPr="006619C1" w:rsidRDefault="006619C1" w:rsidP="00E225B4">
                            <w:pPr>
                              <w:pStyle w:val="ListParagraph"/>
                              <w:numPr>
                                <w:ilvl w:val="0"/>
                                <w:numId w:val="22"/>
                              </w:numPr>
                              <w:rPr>
                                <w:color w:val="FFFFFF" w:themeColor="background1"/>
                              </w:rPr>
                            </w:pPr>
                            <w:r w:rsidRPr="006619C1">
                              <w:rPr>
                                <w:color w:val="FFFFFF" w:themeColor="background1"/>
                              </w:rPr>
                              <w:t>to vote and be elected at periodic State and municipal elections that guarantee the free expression of the will of the electors; and</w:t>
                            </w:r>
                          </w:p>
                          <w:p w14:paraId="395E4D6E" w14:textId="6F4FD44A" w:rsidR="006619C1" w:rsidRPr="006619C1" w:rsidRDefault="006619C1" w:rsidP="00E225B4">
                            <w:pPr>
                              <w:pStyle w:val="ListParagraph"/>
                              <w:numPr>
                                <w:ilvl w:val="0"/>
                                <w:numId w:val="22"/>
                              </w:numPr>
                              <w:rPr>
                                <w:color w:val="FFFFFF" w:themeColor="background1"/>
                              </w:rPr>
                            </w:pPr>
                            <w:r w:rsidRPr="006619C1">
                              <w:rPr>
                                <w:color w:val="FFFFFF" w:themeColor="background1"/>
                              </w:rPr>
                              <w:t>to have access, on general terms of equality, to the Victorian public service and public office.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86BF1B" id="Text Box 258" o:spid="_x0000_s1047" type="#_x0000_t202" style="position:absolute;margin-left:400.45pt;margin-top:38.15pt;width:451.65pt;height:110.6pt;z-index:25165829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" fillcolor="#201547" strokecolor="#1b383a [1604]" strokeweight="1pt">
                <v:textbox style="mso-fit-shape-to-text:t">
                  <w:txbxContent>
                    <w:p w14:paraId="683BFD51" w14:textId="6AECFFC1" w:rsidR="006619C1" w:rsidRPr="006619C1" w:rsidRDefault="006619C1" w:rsidP="006619C1">
                      <w:pPr>
                        <w:pStyle w:val="Heading3-report"/>
                        <w:rPr>
                          <w:color w:val="FFFFFF" w:themeColor="background1"/>
                        </w:rPr>
                      </w:pPr>
                      <w:r w:rsidRPr="006619C1">
                        <w:rPr>
                          <w:color w:val="FFFFFF" w:themeColor="background1"/>
                        </w:rPr>
                        <w:t>Section 18 Taking part in public life</w:t>
                      </w:r>
                    </w:p>
                    <w:p w14:paraId="60720249" w14:textId="77777777" w:rsidR="006619C1" w:rsidRPr="006619C1" w:rsidRDefault="006619C1" w:rsidP="00E225B4">
                      <w:pPr>
                        <w:pStyle w:val="ListParagraph"/>
                        <w:numPr>
                          <w:ilvl w:val="0"/>
                          <w:numId w:val="21"/>
                        </w:numPr>
                        <w:rPr>
                          <w:color w:val="FFFFFF" w:themeColor="background1"/>
                        </w:rPr>
                      </w:pPr>
                      <w:r w:rsidRPr="006619C1">
                        <w:rPr>
                          <w:color w:val="FFFFFF" w:themeColor="background1"/>
                        </w:rPr>
                        <w:t>Every person in Victoria has the right, and is to have the opportunity without discrimination, to participate in the conduct of public affairs, directly or through freely chosen representatives.</w:t>
                      </w:r>
                    </w:p>
                    <w:p w14:paraId="10CEA003" w14:textId="77777777" w:rsidR="006619C1" w:rsidRPr="006619C1" w:rsidRDefault="006619C1" w:rsidP="00E225B4">
                      <w:pPr>
                        <w:pStyle w:val="ListParagraph"/>
                        <w:numPr>
                          <w:ilvl w:val="0"/>
                          <w:numId w:val="21"/>
                        </w:numPr>
                        <w:rPr>
                          <w:color w:val="FFFFFF" w:themeColor="background1"/>
                        </w:rPr>
                      </w:pPr>
                      <w:r w:rsidRPr="006619C1">
                        <w:rPr>
                          <w:color w:val="FFFFFF" w:themeColor="background1"/>
                        </w:rPr>
                        <w:t>Every eligible person has the right, and is to have the opportunity, without discrimination —</w:t>
                      </w:r>
                    </w:p>
                    <w:p w14:paraId="64900F2B" w14:textId="77777777" w:rsidR="006619C1" w:rsidRPr="006619C1" w:rsidRDefault="006619C1" w:rsidP="00E225B4">
                      <w:pPr>
                        <w:pStyle w:val="ListParagraph"/>
                        <w:numPr>
                          <w:ilvl w:val="0"/>
                          <w:numId w:val="22"/>
                        </w:numPr>
                        <w:rPr>
                          <w:color w:val="FFFFFF" w:themeColor="background1"/>
                        </w:rPr>
                      </w:pPr>
                      <w:r w:rsidRPr="006619C1">
                        <w:rPr>
                          <w:color w:val="FFFFFF" w:themeColor="background1"/>
                        </w:rPr>
                        <w:t>to vote and be elected at periodic State and municipal elections that guarantee the free expression of the will of the electors; and</w:t>
                      </w:r>
                    </w:p>
                    <w:p w14:paraId="395E4D6E" w14:textId="6F4FD44A" w:rsidR="006619C1" w:rsidRPr="006619C1" w:rsidRDefault="006619C1" w:rsidP="00E225B4">
                      <w:pPr>
                        <w:pStyle w:val="ListParagraph"/>
                        <w:numPr>
                          <w:ilvl w:val="0"/>
                          <w:numId w:val="22"/>
                        </w:numPr>
                        <w:rPr>
                          <w:color w:val="FFFFFF" w:themeColor="background1"/>
                        </w:rPr>
                      </w:pPr>
                      <w:r w:rsidRPr="006619C1">
                        <w:rPr>
                          <w:color w:val="FFFFFF" w:themeColor="background1"/>
                        </w:rPr>
                        <w:t>to have access, on general terms of equality, to the Victorian public service and public office.</w:t>
                      </w:r>
                    </w:p>
                  </w:txbxContent>
                </v:textbox>
                <w10:wrap type="square" anchorx="margin"/>
              </v:shape>
            </w:pict>
          </mc:Fallback>
        </mc:AlternateContent>
      </w:r>
    </w:p>
    <w:p w14:paraId="37894D1F" w14:textId="77777777" w:rsidR="006619C1" w:rsidRDefault="00206E46" w:rsidP="006619C1">
      <w:pPr>
        <w:pStyle w:val="BoldedRightsIntro"/>
      </w:pPr>
      <w:r>
        <w:t>All people, including people with mental health issues or psychological distress</w:t>
      </w:r>
      <w:r w:rsidR="004A2C31">
        <w:t xml:space="preserve"> as well as their families, carers and supporters</w:t>
      </w:r>
      <w:r>
        <w:t xml:space="preserve">, have the right to be part of public life. This hasn’t always been the case. </w:t>
      </w:r>
      <w:r w:rsidR="002017B2">
        <w:t>Hidden</w:t>
      </w:r>
      <w:r>
        <w:t xml:space="preserve"> within asylums </w:t>
      </w:r>
      <w:r w:rsidR="00383499">
        <w:t>during the</w:t>
      </w:r>
      <w:r w:rsidR="002D24C1">
        <w:t xml:space="preserve"> nineteenth</w:t>
      </w:r>
      <w:r w:rsidR="00383499" w:rsidDel="008548FB">
        <w:t xml:space="preserve"> </w:t>
      </w:r>
      <w:r w:rsidR="00383499">
        <w:t xml:space="preserve">and </w:t>
      </w:r>
      <w:r w:rsidR="002D24C1">
        <w:t>twentieth</w:t>
      </w:r>
      <w:r w:rsidR="00383499">
        <w:t xml:space="preserve"> centuries, </w:t>
      </w:r>
      <w:r>
        <w:t xml:space="preserve">and </w:t>
      </w:r>
      <w:r w:rsidR="002D24C1">
        <w:t xml:space="preserve">historically </w:t>
      </w:r>
      <w:r>
        <w:t>given limited voice on the issues that affect them</w:t>
      </w:r>
      <w:r w:rsidR="00383499">
        <w:t xml:space="preserve"> throughout mental health policy</w:t>
      </w:r>
      <w:r w:rsidR="002E08F4">
        <w:t xml:space="preserve"> development</w:t>
      </w:r>
      <w:r>
        <w:t>,</w:t>
      </w:r>
      <w:r w:rsidR="00997A56" w:rsidRPr="0091262D">
        <w:rPr>
          <w:rStyle w:val="FootnoteReference"/>
        </w:rPr>
        <w:footnoteReference w:id="141"/>
      </w:r>
      <w:r w:rsidR="004A2C31">
        <w:t xml:space="preserve"> </w:t>
      </w:r>
      <w:r w:rsidR="006A1D45">
        <w:t>mental health consumers have ofte</w:t>
      </w:r>
      <w:r w:rsidR="0000568B">
        <w:t xml:space="preserve">n </w:t>
      </w:r>
      <w:r w:rsidR="002E08F4">
        <w:t>been governed by public laws and policies, but not participated in their development.</w:t>
      </w:r>
      <w:r w:rsidR="004D6682" w:rsidRPr="0091262D">
        <w:rPr>
          <w:rStyle w:val="FootnoteReference"/>
        </w:rPr>
        <w:footnoteReference w:id="142"/>
      </w:r>
      <w:r w:rsidR="00B63F62">
        <w:t xml:space="preserve"> </w:t>
      </w:r>
    </w:p>
    <w:p w14:paraId="24939C93" w14:textId="7BD1B7E9" w:rsidR="009B7DED" w:rsidRPr="00AC6445" w:rsidRDefault="00B63F62" w:rsidP="007D13C6">
      <w:pPr>
        <w:spacing w:before="120"/>
      </w:pPr>
      <w:r>
        <w:t>Efforts to further embed the protection to take part in public life may address, in part, these issues.</w:t>
      </w:r>
      <w:r w:rsidR="00AC6445">
        <w:t xml:space="preserve"> These </w:t>
      </w:r>
      <w:r w:rsidR="0032294B">
        <w:t>right to</w:t>
      </w:r>
      <w:r w:rsidR="00AC6445">
        <w:t xml:space="preserve"> participation</w:t>
      </w:r>
      <w:r w:rsidR="0032294B">
        <w:t xml:space="preserve"> in public life</w:t>
      </w:r>
      <w:r w:rsidR="00AC6445">
        <w:t xml:space="preserve"> may be further reinforced by </w:t>
      </w:r>
      <w:r w:rsidR="003918D5">
        <w:t xml:space="preserve">Australia’s </w:t>
      </w:r>
      <w:r w:rsidR="00AC6445">
        <w:t xml:space="preserve">duties under articles 4(3) and 33(1) of the </w:t>
      </w:r>
      <w:r w:rsidR="0074627F">
        <w:t>CRPD</w:t>
      </w:r>
      <w:r w:rsidR="00AC6445">
        <w:t>, which requires the active involvement of people with a disability on public issues that impact them.</w:t>
      </w:r>
      <w:r w:rsidR="00182127" w:rsidRPr="0091262D">
        <w:rPr>
          <w:rStyle w:val="FootnoteReference"/>
        </w:rPr>
        <w:footnoteReference w:id="143"/>
      </w:r>
    </w:p>
    <w:p w14:paraId="37A15312" w14:textId="5C348EAF" w:rsidR="009B7DED" w:rsidRDefault="007E2B1E" w:rsidP="00925499">
      <w:pPr>
        <w:pStyle w:val="Heading3-report"/>
      </w:pPr>
      <w:r>
        <w:t>The right to participate in public affairs</w:t>
      </w:r>
    </w:p>
    <w:p w14:paraId="3BAB2DE3" w14:textId="7F518AB6" w:rsidR="00013498" w:rsidRDefault="001D7295" w:rsidP="007E2B1E">
      <w:r>
        <w:t>Under section 18(1), a</w:t>
      </w:r>
      <w:r w:rsidR="00620282">
        <w:t xml:space="preserve">ll people in Victoria have the right to participate in public affairs directly or through </w:t>
      </w:r>
      <w:r w:rsidR="00F0460C">
        <w:t xml:space="preserve">representatives such as </w:t>
      </w:r>
      <w:r w:rsidR="001B071F">
        <w:t>p</w:t>
      </w:r>
      <w:r w:rsidR="00F0460C">
        <w:t xml:space="preserve">arliamentarians. </w:t>
      </w:r>
      <w:r w:rsidR="00EC0442">
        <w:t xml:space="preserve">‘Public affairs’ is broadly understood, referring to </w:t>
      </w:r>
      <w:r w:rsidR="00846D36">
        <w:t xml:space="preserve">the development of laws and policies as well as </w:t>
      </w:r>
      <w:r w:rsidR="00EC0442">
        <w:t>any exercise of public power.</w:t>
      </w:r>
      <w:r w:rsidR="00EC0442" w:rsidRPr="0091262D">
        <w:rPr>
          <w:rStyle w:val="FootnoteReference"/>
        </w:rPr>
        <w:footnoteReference w:id="144"/>
      </w:r>
      <w:r w:rsidR="00CB7A8E">
        <w:t xml:space="preserve"> </w:t>
      </w:r>
      <w:r w:rsidR="6D69D0D5">
        <w:t>There are several ways that this could impact on your work.</w:t>
      </w:r>
    </w:p>
    <w:p w14:paraId="2C6DA3F8" w14:textId="697A23C7" w:rsidR="00013498" w:rsidRDefault="00013498" w:rsidP="0088138E">
      <w:pPr>
        <w:pStyle w:val="Heading4"/>
      </w:pPr>
      <w:r>
        <w:lastRenderedPageBreak/>
        <w:t>In ensuring people with lived experience can participate in reform processes</w:t>
      </w:r>
    </w:p>
    <w:p w14:paraId="09749EEE" w14:textId="215A2E69" w:rsidR="0088138E" w:rsidRDefault="6D69D0D5" w:rsidP="007E2B1E">
      <w:r w:rsidRPr="6D69D0D5">
        <w:rPr>
          <w:lang w:eastAsia="en-AU"/>
        </w:rPr>
        <w:t xml:space="preserve">Previous decisions have clarified that </w:t>
      </w:r>
      <w:r>
        <w:t>p</w:t>
      </w:r>
      <w:r w:rsidR="009938A2">
        <w:t xml:space="preserve">articipation in public affairs </w:t>
      </w:r>
      <w:r w:rsidR="00CB7A8E">
        <w:t>can inclu</w:t>
      </w:r>
      <w:r w:rsidR="00200B7E">
        <w:t>de participation in local council meetings</w:t>
      </w:r>
      <w:r w:rsidR="00200B7E" w:rsidRPr="0091262D">
        <w:rPr>
          <w:rStyle w:val="FootnoteReference"/>
        </w:rPr>
        <w:footnoteReference w:id="145"/>
      </w:r>
      <w:r w:rsidR="00200B7E">
        <w:t xml:space="preserve"> or attendance at public court hearings.</w:t>
      </w:r>
      <w:r w:rsidR="00E35F17" w:rsidRPr="0091262D">
        <w:rPr>
          <w:rStyle w:val="FootnoteReference"/>
        </w:rPr>
        <w:footnoteReference w:id="146"/>
      </w:r>
      <w:r w:rsidR="007C47E1">
        <w:t xml:space="preserve"> </w:t>
      </w:r>
      <w:r>
        <w:t>The right can be limited, but only in accordance with</w:t>
      </w:r>
      <w:r w:rsidR="000369BB">
        <w:t xml:space="preserve"> section 7(2) of the Charter.</w:t>
      </w:r>
      <w:r w:rsidR="000369BB" w:rsidRPr="0091262D">
        <w:rPr>
          <w:rStyle w:val="FootnoteReference"/>
        </w:rPr>
        <w:footnoteReference w:id="147"/>
      </w:r>
      <w:r w:rsidR="00F56F98">
        <w:t xml:space="preserve"> </w:t>
      </w:r>
    </w:p>
    <w:p w14:paraId="5EF9F152" w14:textId="4EC943F2" w:rsidR="0088138E" w:rsidRDefault="6D69D0D5" w:rsidP="007E2B1E">
      <w:r>
        <w:t>There will be circumstances where reform processes hear from people with lived experience. It is important that reform processes hear from a range of people with lived experience, including those who have both positive and negative experiences.</w:t>
      </w:r>
      <w:r w:rsidR="005E267C" w:rsidRPr="0091262D">
        <w:rPr>
          <w:rStyle w:val="FootnoteReference"/>
        </w:rPr>
        <w:footnoteReference w:id="148"/>
      </w:r>
      <w:r>
        <w:t xml:space="preserve"> At times people may report significant trauma or have strong views that can make it difficult for others to </w:t>
      </w:r>
      <w:r w:rsidR="00DE71FE">
        <w:t xml:space="preserve">also </w:t>
      </w:r>
      <w:r>
        <w:t>present their views</w:t>
      </w:r>
      <w:r w:rsidR="00DE71FE">
        <w:t xml:space="preserve"> in the same forum</w:t>
      </w:r>
      <w:r>
        <w:t>. Default processes may be to remove that person(s) from future reform</w:t>
      </w:r>
      <w:r w:rsidR="009C3163">
        <w:t xml:space="preserve"> processes</w:t>
      </w:r>
      <w:r>
        <w:t>. However, section 7(2) asks the Division or private contractors fulfilling its public function to ensure they explore all other less restrictive ways to address any issues. This could mean ensuring there are two facilitators present to assist individuals during these consultations, that there are agreed to processes for open forums that may be developed with lived experience experts, or that there are other ways for individuals to participate where it is too difficult to balance the rights and wellbeing of all involved in a single session.</w:t>
      </w:r>
    </w:p>
    <w:p w14:paraId="12535502" w14:textId="5A9F5C85" w:rsidR="00F13F9C" w:rsidRDefault="00F56F98" w:rsidP="007E2B1E">
      <w:r>
        <w:t xml:space="preserve">This </w:t>
      </w:r>
      <w:r w:rsidR="009639ED">
        <w:t xml:space="preserve">aspect of the right </w:t>
      </w:r>
      <w:r>
        <w:t xml:space="preserve">can create a duty on government to </w:t>
      </w:r>
      <w:r w:rsidR="00A9137F">
        <w:t>tailor approaches to engagement</w:t>
      </w:r>
      <w:r w:rsidR="004D253B">
        <w:t xml:space="preserve"> to ensure that</w:t>
      </w:r>
      <w:r w:rsidR="00E96410">
        <w:t xml:space="preserve"> people whose rights may be affected </w:t>
      </w:r>
      <w:r w:rsidR="0017031C">
        <w:t>can</w:t>
      </w:r>
      <w:r w:rsidR="009639ED">
        <w:t xml:space="preserve"> have a say and</w:t>
      </w:r>
      <w:r>
        <w:t xml:space="preserve"> participat</w:t>
      </w:r>
      <w:r w:rsidR="0017031C">
        <w:t>e</w:t>
      </w:r>
      <w:r w:rsidR="002E05E0" w:rsidDel="0017031C">
        <w:t xml:space="preserve"> </w:t>
      </w:r>
      <w:r w:rsidR="002E05E0">
        <w:t>in public affairs</w:t>
      </w:r>
      <w:r w:rsidR="004D253B">
        <w:t>, and not be drowned out by more powerful or institutional actors</w:t>
      </w:r>
      <w:r w:rsidR="002E05E0">
        <w:t>.</w:t>
      </w:r>
      <w:r w:rsidR="002E05E0" w:rsidRPr="0091262D">
        <w:rPr>
          <w:rStyle w:val="FootnoteReference"/>
        </w:rPr>
        <w:footnoteReference w:id="149"/>
      </w:r>
      <w:r w:rsidR="00254DED">
        <w:t xml:space="preserve"> </w:t>
      </w:r>
    </w:p>
    <w:p w14:paraId="2AFED8D2" w14:textId="5DEAAE9E" w:rsidR="007948EA" w:rsidRDefault="00254DED" w:rsidP="007E2B1E">
      <w:r>
        <w:t>Within the context of mental health policy and debates, it highlights the importance that people with lived experience of mental health issues</w:t>
      </w:r>
      <w:r w:rsidR="00090BC4">
        <w:t xml:space="preserve"> and psychological distress should be able</w:t>
      </w:r>
      <w:r w:rsidR="00F13F9C">
        <w:t xml:space="preserve"> to participate in public affairs </w:t>
      </w:r>
      <w:r w:rsidR="00081EFC">
        <w:t xml:space="preserve">on an equal basis </w:t>
      </w:r>
      <w:r w:rsidR="00F13F9C">
        <w:t xml:space="preserve">as others. </w:t>
      </w:r>
    </w:p>
    <w:p w14:paraId="36352FE8" w14:textId="0515D3D6" w:rsidR="007948EA" w:rsidRDefault="007948EA" w:rsidP="007E2B1E">
      <w:r>
        <w:t>Under international law, both the</w:t>
      </w:r>
      <w:r w:rsidR="00143B4D">
        <w:t xml:space="preserve"> </w:t>
      </w:r>
      <w:r>
        <w:t>ICCPR and the CRPD</w:t>
      </w:r>
      <w:r w:rsidR="009521BE">
        <w:t xml:space="preserve"> </w:t>
      </w:r>
      <w:r w:rsidR="003E0185">
        <w:t xml:space="preserve">emphasise </w:t>
      </w:r>
      <w:r w:rsidR="009521BE">
        <w:t>the participation of people in the development of laws and public policy that affect them. This is summed up in the principle of ‘nothing about us, without us’.</w:t>
      </w:r>
    </w:p>
    <w:p w14:paraId="41906461" w14:textId="69C1E20C" w:rsidR="007E2B1E" w:rsidRDefault="00957DB5" w:rsidP="007E2B1E">
      <w:r>
        <w:t xml:space="preserve">In guidance for </w:t>
      </w:r>
      <w:r w:rsidR="00BE2BEB">
        <w:t xml:space="preserve">article 25 </w:t>
      </w:r>
      <w:r w:rsidR="00143B4D">
        <w:t>of the ICCPR</w:t>
      </w:r>
      <w:r w:rsidR="00455526">
        <w:t xml:space="preserve"> (which </w:t>
      </w:r>
      <w:r w:rsidR="00683293">
        <w:t xml:space="preserve">section 18 of the Charter </w:t>
      </w:r>
      <w:r w:rsidR="00455526">
        <w:t>was modelled on</w:t>
      </w:r>
      <w:r w:rsidR="00683293">
        <w:t>)</w:t>
      </w:r>
      <w:r w:rsidR="00FC5032">
        <w:t xml:space="preserve">, the </w:t>
      </w:r>
      <w:r w:rsidR="005C1E9A">
        <w:t>Office of the High Commissioner for Human Rights</w:t>
      </w:r>
      <w:r w:rsidR="004F3DD4">
        <w:t xml:space="preserve"> recommended that States ensure processes for people to participate in ‘laws, policies and institutional arrangements’ that affect them</w:t>
      </w:r>
      <w:r w:rsidR="000238D8">
        <w:t>, with a particular focus on th</w:t>
      </w:r>
      <w:r w:rsidR="0032308A">
        <w:t>e</w:t>
      </w:r>
      <w:r w:rsidR="000238D8">
        <w:t xml:space="preserve"> voices and groups most marginalised</w:t>
      </w:r>
      <w:r w:rsidR="00F126C6">
        <w:t xml:space="preserve"> and discriminated against</w:t>
      </w:r>
      <w:r w:rsidR="000238D8">
        <w:t>.</w:t>
      </w:r>
      <w:r w:rsidR="00227577" w:rsidRPr="0091262D">
        <w:rPr>
          <w:rStyle w:val="FootnoteReference"/>
        </w:rPr>
        <w:footnoteReference w:id="150"/>
      </w:r>
      <w:r w:rsidR="00F85C9D">
        <w:t xml:space="preserve"> This</w:t>
      </w:r>
      <w:r w:rsidR="009E1848">
        <w:t xml:space="preserve"> guidance</w:t>
      </w:r>
      <w:r w:rsidR="00F85C9D">
        <w:t xml:space="preserve"> can be read within the context of articles 4(3) and 33(1) </w:t>
      </w:r>
      <w:r w:rsidR="00FB4B07">
        <w:t xml:space="preserve">of the CRPD </w:t>
      </w:r>
      <w:r w:rsidR="00F85C9D">
        <w:t xml:space="preserve">which requires State </w:t>
      </w:r>
      <w:r w:rsidR="00574467">
        <w:t xml:space="preserve">parties </w:t>
      </w:r>
      <w:r w:rsidR="00F85C9D">
        <w:t xml:space="preserve">to </w:t>
      </w:r>
      <w:r w:rsidR="00182127">
        <w:t xml:space="preserve">involve people in the public policy issues </w:t>
      </w:r>
      <w:r w:rsidR="00182127">
        <w:lastRenderedPageBreak/>
        <w:t>that affect them.</w:t>
      </w:r>
      <w:r w:rsidR="00491D23" w:rsidRPr="0091262D">
        <w:rPr>
          <w:rStyle w:val="FootnoteReference"/>
        </w:rPr>
        <w:footnoteReference w:id="151"/>
      </w:r>
      <w:r w:rsidR="00C04FCB">
        <w:t xml:space="preserve"> The Committee on the </w:t>
      </w:r>
      <w:r w:rsidR="000222D2">
        <w:t>CRPD provided guidance that explicitly connects article 25 of the ICCPR</w:t>
      </w:r>
      <w:r w:rsidR="008766DF">
        <w:t xml:space="preserve"> with both articles 4(3) and 33(1).</w:t>
      </w:r>
      <w:r w:rsidR="00B122DD" w:rsidRPr="0091262D">
        <w:rPr>
          <w:rStyle w:val="FootnoteReference"/>
        </w:rPr>
        <w:footnoteReference w:id="152"/>
      </w:r>
      <w:r w:rsidR="0090242D">
        <w:t xml:space="preserve"> </w:t>
      </w:r>
    </w:p>
    <w:p w14:paraId="207581F3" w14:textId="797DD2B3" w:rsidR="0090242D" w:rsidRDefault="0090242D" w:rsidP="007E2B1E">
      <w:r>
        <w:t>Read together, these provisions encourage government processes t</w:t>
      </w:r>
      <w:r w:rsidR="00FD23B8">
        <w:t>hat</w:t>
      </w:r>
      <w:r>
        <w:t xml:space="preserve"> enable </w:t>
      </w:r>
      <w:r w:rsidR="00FD23B8">
        <w:t>people’s participation</w:t>
      </w:r>
      <w:r>
        <w:t xml:space="preserve">. Special attention should be given to those </w:t>
      </w:r>
      <w:r w:rsidR="00FD6E60">
        <w:t xml:space="preserve">affected </w:t>
      </w:r>
      <w:r>
        <w:t xml:space="preserve">by the policy, proposal, </w:t>
      </w:r>
      <w:r w:rsidR="00466700">
        <w:t xml:space="preserve">decision or service, in particular those who are most marginalised and disadvantaged within this context. </w:t>
      </w:r>
      <w:r w:rsidR="003913E4">
        <w:t>Such group</w:t>
      </w:r>
      <w:r w:rsidR="0001674D">
        <w:t>s</w:t>
      </w:r>
      <w:r w:rsidR="00466700">
        <w:t xml:space="preserve"> may include people subject to compulsory mental health treatment, people from culturally and linguistically diverse backgrounds, Aboriginal people living in Victoria, or older or younger Victorians. Lessons on how to do so effectively, including how to structure policy engagements based on ‘who is closest to the problem’, can be found in co-production literature written by consumers.</w:t>
      </w:r>
      <w:r w:rsidR="00265437" w:rsidRPr="0091262D">
        <w:rPr>
          <w:rStyle w:val="FootnoteReference"/>
        </w:rPr>
        <w:footnoteReference w:id="153"/>
      </w:r>
    </w:p>
    <w:p w14:paraId="6CCC3E1E" w14:textId="6D0AC7EE" w:rsidR="004A608A" w:rsidRDefault="00DF1327" w:rsidP="004A608A">
      <w:pPr>
        <w:pStyle w:val="Heading3-report"/>
      </w:pPr>
      <w:r>
        <w:t>The right to vote</w:t>
      </w:r>
    </w:p>
    <w:p w14:paraId="37D7F434" w14:textId="7EEDD9B7" w:rsidR="00974EA2" w:rsidRDefault="00DF1327" w:rsidP="00DF1327">
      <w:r>
        <w:t>Under section 18(2)(a) all eligible</w:t>
      </w:r>
      <w:r w:rsidR="00C671EE" w:rsidRPr="0091262D">
        <w:rPr>
          <w:rStyle w:val="FootnoteReference"/>
        </w:rPr>
        <w:footnoteReference w:id="154"/>
      </w:r>
      <w:r>
        <w:t xml:space="preserve"> Victorians </w:t>
      </w:r>
      <w:r w:rsidR="002F4BB8">
        <w:t>have the right to vote for public office (at state or local levels) and to run for office themselves.</w:t>
      </w:r>
      <w:r w:rsidR="00905224">
        <w:t xml:space="preserve"> </w:t>
      </w:r>
      <w:r w:rsidR="00C81A61">
        <w:t xml:space="preserve">Who is deemed ‘eligible’ to exercise this right is </w:t>
      </w:r>
      <w:r w:rsidR="009F2760">
        <w:t xml:space="preserve">undefined in the Charter, but guidance can be drawn from the </w:t>
      </w:r>
      <w:r w:rsidR="00866477" w:rsidRPr="6D69D0D5">
        <w:rPr>
          <w:i/>
          <w:iCs/>
        </w:rPr>
        <w:t xml:space="preserve">Constitution Act 1975 </w:t>
      </w:r>
      <w:r w:rsidR="00866477">
        <w:t xml:space="preserve">(Vic) and the </w:t>
      </w:r>
      <w:r w:rsidR="00866477" w:rsidRPr="6D69D0D5">
        <w:rPr>
          <w:i/>
          <w:iCs/>
        </w:rPr>
        <w:t xml:space="preserve">Electoral Act 2002 </w:t>
      </w:r>
      <w:r w:rsidR="00866477">
        <w:t>(Vic) which put conditions around age (18 years of age), being registered, and having a fixed address</w:t>
      </w:r>
      <w:r w:rsidR="00B75CEE">
        <w:t xml:space="preserve"> (with exceptions)</w:t>
      </w:r>
      <w:r w:rsidR="00866477">
        <w:t xml:space="preserve">. </w:t>
      </w:r>
      <w:r w:rsidR="008E7C04">
        <w:t>You also can’t commit treason and vote</w:t>
      </w:r>
      <w:r w:rsidR="001001AB">
        <w:t xml:space="preserve"> either.</w:t>
      </w:r>
      <w:r w:rsidR="001001AB" w:rsidRPr="0091262D">
        <w:rPr>
          <w:rStyle w:val="FootnoteReference"/>
        </w:rPr>
        <w:footnoteReference w:id="155"/>
      </w:r>
      <w:r w:rsidR="008D4217">
        <w:t xml:space="preserve"> </w:t>
      </w:r>
      <w:r w:rsidR="00EB615E">
        <w:t>Some criminal offences may invalidate the right to vote, while others will not.</w:t>
      </w:r>
      <w:r w:rsidR="00EB615E" w:rsidRPr="0091262D">
        <w:rPr>
          <w:rStyle w:val="FootnoteReference"/>
        </w:rPr>
        <w:footnoteReference w:id="156"/>
      </w:r>
      <w:r w:rsidR="00974EA2">
        <w:t xml:space="preserve"> </w:t>
      </w:r>
    </w:p>
    <w:p w14:paraId="05C64CED" w14:textId="0C6005F2" w:rsidR="00573E69" w:rsidRDefault="00573E69" w:rsidP="00DF1327">
      <w:r>
        <w:t>The right to vote can also entail ‘positive duties’ on relevant authorities to support individuals to exercise that right. International human rights law provides extensive guidance on the kinds of positive measures that would assist people from disadvantaged backgrounds to exercise that right on an equal basis. These include</w:t>
      </w:r>
      <w:r w:rsidR="00CC3ECC">
        <w:t xml:space="preserve"> the use of information materials, photographs, symbols and other measures to address the needs of people with reading difficulties.</w:t>
      </w:r>
      <w:r w:rsidR="00CC3ECC" w:rsidRPr="0091262D">
        <w:rPr>
          <w:rStyle w:val="FootnoteReference"/>
        </w:rPr>
        <w:footnoteReference w:id="157"/>
      </w:r>
      <w:r w:rsidR="00730653">
        <w:t xml:space="preserve"> In Victoria, legislation include</w:t>
      </w:r>
      <w:r w:rsidR="00C85F3D">
        <w:t>s requirements for additional assistance for those who need it.</w:t>
      </w:r>
      <w:r w:rsidR="00C85F3D" w:rsidRPr="0091262D">
        <w:rPr>
          <w:rStyle w:val="FootnoteReference"/>
        </w:rPr>
        <w:footnoteReference w:id="158"/>
      </w:r>
      <w:r w:rsidR="00C85F3D">
        <w:t xml:space="preserve"> </w:t>
      </w:r>
    </w:p>
    <w:p w14:paraId="5AD0DB92" w14:textId="74AD6127" w:rsidR="00B17227" w:rsidRDefault="00B17227" w:rsidP="00DF1327">
      <w:r>
        <w:t xml:space="preserve">In mental health settings, individuals can experience a range of barriers to exercising this right. Individuals with reading or cognitive processing difficulties may not have access to meaningful information. </w:t>
      </w:r>
      <w:r w:rsidR="00E1448F">
        <w:t xml:space="preserve">Those who are detained within mental health inpatient units may </w:t>
      </w:r>
      <w:r w:rsidR="00C03932">
        <w:t>not be able to attend a voting booth and may require assistance to vote via alternative means.</w:t>
      </w:r>
      <w:r w:rsidR="00947A6C">
        <w:t xml:space="preserve"> It should be noted that decisions to grant a leave of absence in this context,</w:t>
      </w:r>
      <w:r w:rsidR="00CE0882" w:rsidRPr="0091262D">
        <w:rPr>
          <w:rStyle w:val="FootnoteReference"/>
        </w:rPr>
        <w:footnoteReference w:id="159"/>
      </w:r>
      <w:r w:rsidR="00947A6C">
        <w:t xml:space="preserve"> where </w:t>
      </w:r>
      <w:r w:rsidR="00947A6C">
        <w:lastRenderedPageBreak/>
        <w:t xml:space="preserve">other means of voting are not available, should take special effort to consider </w:t>
      </w:r>
      <w:r w:rsidR="00062D55">
        <w:t>the limitations on these rights caused by a failure to grant a leave of absence.</w:t>
      </w:r>
      <w:r w:rsidR="00632FC1" w:rsidRPr="0091262D">
        <w:rPr>
          <w:rStyle w:val="FootnoteReference"/>
        </w:rPr>
        <w:footnoteReference w:id="160"/>
      </w:r>
    </w:p>
    <w:p w14:paraId="3A751BAA" w14:textId="747E499B" w:rsidR="000B6C17" w:rsidRDefault="000B6C17" w:rsidP="000B6C17">
      <w:pPr>
        <w:pStyle w:val="Heading3-report"/>
      </w:pPr>
      <w:r>
        <w:t>The right of access to public service and public office</w:t>
      </w:r>
    </w:p>
    <w:p w14:paraId="3C30F512" w14:textId="6766E248" w:rsidR="000B6C17" w:rsidRDefault="00113788" w:rsidP="000B6C17">
      <w:r>
        <w:t>People with mental health issues and psychological distress should</w:t>
      </w:r>
      <w:r w:rsidR="00CC25A7">
        <w:t xml:space="preserve">, and do, serve in the public service and public office (politics). </w:t>
      </w:r>
      <w:r w:rsidR="0004158D">
        <w:t xml:space="preserve">The opportunity to do this, </w:t>
      </w:r>
      <w:r w:rsidR="00893914">
        <w:t xml:space="preserve">on an equal basis </w:t>
      </w:r>
      <w:r w:rsidR="0004158D">
        <w:t xml:space="preserve">with others without mental health issues or psychological distress, is protected under section 18(2)(b) of the Charter. </w:t>
      </w:r>
    </w:p>
    <w:p w14:paraId="6D186708" w14:textId="31CACF9E" w:rsidR="006B676F" w:rsidRDefault="0002156B" w:rsidP="006B676F">
      <w:r>
        <w:t xml:space="preserve">The meaning of </w:t>
      </w:r>
      <w:r w:rsidR="00503C28">
        <w:t>‘</w:t>
      </w:r>
      <w:r>
        <w:t>public service</w:t>
      </w:r>
      <w:r w:rsidR="00503C28">
        <w:t>’</w:t>
      </w:r>
      <w:r>
        <w:t xml:space="preserve"> is undefined in the Charter, but likely reflects the different agencies reflected under Part 3 of the </w:t>
      </w:r>
      <w:r w:rsidRPr="003506A6">
        <w:t>Public Administration Act.</w:t>
      </w:r>
      <w:r w:rsidR="00583DDD" w:rsidRPr="003506A6">
        <w:t xml:space="preserve"> The meaning</w:t>
      </w:r>
      <w:r w:rsidR="00583DDD">
        <w:t xml:space="preserve"> of eligible is the same as that discussed under section 18(2)(a) above.</w:t>
      </w:r>
      <w:r>
        <w:t xml:space="preserve"> </w:t>
      </w:r>
      <w:r w:rsidR="007F65BD">
        <w:t>Though the right does</w:t>
      </w:r>
      <w:r w:rsidR="00503C28">
        <w:t xml:space="preserve"> not</w:t>
      </w:r>
      <w:r w:rsidR="007F65BD">
        <w:t xml:space="preserve"> affirm someone’s right </w:t>
      </w:r>
      <w:r w:rsidR="007F65BD" w:rsidRPr="6D69D0D5">
        <w:rPr>
          <w:i/>
          <w:iCs/>
        </w:rPr>
        <w:t>to the job</w:t>
      </w:r>
      <w:r w:rsidR="007F65BD">
        <w:t>, but rather the equal opportunity to be assessed on fair criteria, it may require positive steps to ensure that different communities do get equal access to the process.</w:t>
      </w:r>
      <w:r w:rsidR="007F65BD" w:rsidRPr="0091262D">
        <w:rPr>
          <w:rStyle w:val="FootnoteReference"/>
        </w:rPr>
        <w:footnoteReference w:id="161"/>
      </w:r>
      <w:r w:rsidR="001B3946">
        <w:t xml:space="preserve"> </w:t>
      </w:r>
      <w:r w:rsidR="00C75FC3">
        <w:t xml:space="preserve">There may be </w:t>
      </w:r>
      <w:r w:rsidR="006B676F">
        <w:t>limitations</w:t>
      </w:r>
      <w:r w:rsidR="00C75FC3">
        <w:t xml:space="preserve"> on this right, such as requirements to disclose political activities where this is directly relevant and may give rise to a conflict of interest</w:t>
      </w:r>
      <w:r w:rsidR="00B21993">
        <w:t>.</w:t>
      </w:r>
      <w:r w:rsidR="00B21993" w:rsidRPr="0091262D">
        <w:rPr>
          <w:rStyle w:val="FootnoteReference"/>
        </w:rPr>
        <w:footnoteReference w:id="162"/>
      </w:r>
    </w:p>
    <w:p w14:paraId="57260A2D" w14:textId="4C83F776" w:rsidR="00EC4C19" w:rsidRDefault="007911A3" w:rsidP="006B676F">
      <w:r>
        <w:t xml:space="preserve">Within a mental health and wellbeing context, there may be several instances where this </w:t>
      </w:r>
      <w:r w:rsidR="00203FBE">
        <w:t xml:space="preserve">right </w:t>
      </w:r>
      <w:r>
        <w:t>arises. Positive measures</w:t>
      </w:r>
      <w:r w:rsidR="00B908EC">
        <w:t xml:space="preserve"> </w:t>
      </w:r>
      <w:r>
        <w:t>to hire individuals with lived experience of mental health issues</w:t>
      </w:r>
      <w:r w:rsidR="00603290">
        <w:t xml:space="preserve"> or</w:t>
      </w:r>
      <w:r>
        <w:t xml:space="preserve"> psychological distress</w:t>
      </w:r>
      <w:r w:rsidR="00603290">
        <w:t xml:space="preserve">, or carers, can promote this right </w:t>
      </w:r>
      <w:r w:rsidR="00B908EC">
        <w:t xml:space="preserve">while also limiting </w:t>
      </w:r>
      <w:r w:rsidR="00834492">
        <w:t>the right to privacy. Whether a disclosure of these experiences is justified or not</w:t>
      </w:r>
      <w:r w:rsidR="00143098">
        <w:t xml:space="preserve"> may turn on whether, for example, the roles are designated </w:t>
      </w:r>
      <w:r w:rsidR="00143098">
        <w:rPr>
          <w:i/>
          <w:iCs/>
        </w:rPr>
        <w:t>only for</w:t>
      </w:r>
      <w:r w:rsidR="00143098">
        <w:t xml:space="preserve"> people with that lived experience. Advertising such roles may also require positive steps to ensure that people with those lived experience have equal opportunity to </w:t>
      </w:r>
      <w:r w:rsidR="001565DE">
        <w:t xml:space="preserve">apply for the roles in a fair process. </w:t>
      </w:r>
    </w:p>
    <w:p w14:paraId="65FA2B0C" w14:textId="77777777" w:rsidR="00E42EF6" w:rsidRDefault="00E42EF6" w:rsidP="006B676F">
      <w:pPr>
        <w:sectPr w:rsidR="00E42EF6" w:rsidSect="00271E88">
          <w:pgSz w:w="11906" w:h="16838"/>
          <w:pgMar w:top="1440" w:right="1418" w:bottom="1440" w:left="1418" w:header="708" w:footer="708" w:gutter="0"/>
          <w:cols w:space="708"/>
          <w:titlePg/>
          <w:docGrid w:linePitch="360"/>
        </w:sectPr>
      </w:pPr>
    </w:p>
    <w:p w14:paraId="10897BD7" w14:textId="58D6A9B7" w:rsidR="00B461DF" w:rsidRDefault="00B461DF" w:rsidP="00B461DF">
      <w:pPr>
        <w:pStyle w:val="Heading1-report"/>
        <w:spacing w:before="0"/>
      </w:pPr>
      <w:r>
        <w:rPr>
          <w:noProof/>
        </w:rPr>
        <w:lastRenderedPageBreak/>
        <mc:AlternateContent>
          <mc:Choice Requires="wps">
            <w:drawing>
              <wp:anchor distT="0" distB="0" distL="114300" distR="114300" simplePos="0" relativeHeight="251658274" behindDoc="1" locked="0" layoutInCell="1" allowOverlap="1" wp14:anchorId="6B8625D6" wp14:editId="33481E85">
                <wp:simplePos x="0" y="0"/>
                <wp:positionH relativeFrom="page">
                  <wp:align>left</wp:align>
                </wp:positionH>
                <wp:positionV relativeFrom="paragraph">
                  <wp:posOffset>-901811</wp:posOffset>
                </wp:positionV>
                <wp:extent cx="10693593" cy="7952874"/>
                <wp:effectExtent l="0" t="0" r="12700" b="10160"/>
                <wp:wrapNone/>
                <wp:docPr id="272" name="Rectangle 272"/>
                <wp:cNvGraphicFramePr/>
                <a:graphic xmlns:a="http://schemas.openxmlformats.org/drawingml/2006/main">
                  <a:graphicData uri="http://schemas.microsoft.com/office/word/2010/wordprocessingShape">
                    <wps:wsp>
                      <wps:cNvSpPr/>
                      <wps:spPr>
                        <a:xfrm>
                          <a:off x="0" y="0"/>
                          <a:ext cx="10693593" cy="7952874"/>
                        </a:xfrm>
                        <a:prstGeom prst="rect">
                          <a:avLst/>
                        </a:prstGeom>
                        <a:solidFill>
                          <a:srgbClr val="D0E8E9"/>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2EDA3E" w14:textId="77777777" w:rsidR="00B461DF" w:rsidRDefault="00B461DF" w:rsidP="00017E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625D6" id="Rectangle 272" o:spid="_x0000_s1048" style="position:absolute;margin-left:0;margin-top:-71pt;width:842pt;height:626.2pt;z-index:-25165820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" fillcolor="#d0e8e9" strokecolor="#1b383a [1604]" strokeweight="1pt">
                <v:textbox>
                  <w:txbxContent>
                    <w:p w14:paraId="5B2EDA3E" w14:textId="77777777" w:rsidR="00B461DF" w:rsidRDefault="00B461DF" w:rsidP="00017E0E"/>
                  </w:txbxContent>
                </v:textbox>
                <w10:wrap anchorx="page"/>
              </v:rect>
            </w:pict>
          </mc:Fallback>
        </mc:AlternateContent>
      </w:r>
      <w:r>
        <w:t>TAKE-HOMES:</w:t>
      </w:r>
      <w:r w:rsidR="00017E0E">
        <w:t xml:space="preserve"> RIGHT TO PARTICIPATION IN PUBLIC AFFAIRS</w:t>
      </w:r>
    </w:p>
    <w:tbl>
      <w:tblPr>
        <w:tblStyle w:val="TableGridLight"/>
        <w:tblW w:w="15446" w:type="dxa"/>
        <w:tblCellMar>
          <w:bottom w:w="284" w:type="dxa"/>
        </w:tblCellMar>
        <w:tblLook w:val="04A0" w:firstRow="1" w:lastRow="0" w:firstColumn="1" w:lastColumn="0" w:noHBand="0" w:noVBand="1"/>
      </w:tblPr>
      <w:tblGrid>
        <w:gridCol w:w="1056"/>
        <w:gridCol w:w="6373"/>
        <w:gridCol w:w="1056"/>
        <w:gridCol w:w="6961"/>
      </w:tblGrid>
      <w:tr w:rsidR="00B461DF" w14:paraId="6C74AF40" w14:textId="77777777" w:rsidTr="004F4360">
        <w:tc>
          <w:tcPr>
            <w:tcW w:w="1056" w:type="dxa"/>
          </w:tcPr>
          <w:p w14:paraId="056099D6" w14:textId="77777777" w:rsidR="00B461DF" w:rsidRDefault="00B461DF" w:rsidP="004F4360">
            <w:r>
              <w:rPr>
                <w:noProof/>
              </w:rPr>
              <w:drawing>
                <wp:inline distT="0" distB="0" distL="0" distR="0" wp14:anchorId="397E4953" wp14:editId="3CCFB6A4">
                  <wp:extent cx="526774" cy="526774"/>
                  <wp:effectExtent l="0" t="0" r="6985" b="6985"/>
                  <wp:docPr id="273" name="Graphic 273"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6452" w:type="dxa"/>
          </w:tcPr>
          <w:p w14:paraId="65FA5918" w14:textId="6205C3E2" w:rsidR="00B461DF" w:rsidRDefault="00017E0E" w:rsidP="004F4360">
            <w:pPr>
              <w:pStyle w:val="Heading3-report"/>
            </w:pPr>
            <w:r>
              <w:t>Clarify voting rights for mental health inpatients</w:t>
            </w:r>
          </w:p>
          <w:p w14:paraId="5038C9F4" w14:textId="75F621BE" w:rsidR="00B461DF" w:rsidRPr="006F6EC8" w:rsidRDefault="007D2867" w:rsidP="004F4360">
            <w:r>
              <w:t xml:space="preserve">Even if someone </w:t>
            </w:r>
            <w:r w:rsidR="004C0DDB">
              <w:t xml:space="preserve">is detained within mental health inpatient units, they should not lose their right to participate in public affairs, such as voting in elections. </w:t>
            </w:r>
            <w:r w:rsidR="003456AC">
              <w:t>Advice to mental health services on how to facilitate the exercise of these rights may be needed in advance of elections.</w:t>
            </w:r>
          </w:p>
        </w:tc>
        <w:tc>
          <w:tcPr>
            <w:tcW w:w="890" w:type="dxa"/>
          </w:tcPr>
          <w:p w14:paraId="2DA8867C" w14:textId="77777777" w:rsidR="00B461DF" w:rsidRDefault="00B461DF" w:rsidP="004F4360">
            <w:r>
              <w:rPr>
                <w:noProof/>
              </w:rPr>
              <w:drawing>
                <wp:inline distT="0" distB="0" distL="0" distR="0" wp14:anchorId="079E81FB" wp14:editId="66ED29D6">
                  <wp:extent cx="526774" cy="526774"/>
                  <wp:effectExtent l="0" t="0" r="6985" b="6985"/>
                  <wp:docPr id="274" name="Graphic 274"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7048" w:type="dxa"/>
          </w:tcPr>
          <w:p w14:paraId="353C0BA7" w14:textId="4D65DF79" w:rsidR="003456AC" w:rsidRDefault="00B461DF" w:rsidP="003456AC">
            <w:pPr>
              <w:pStyle w:val="Heading3-report"/>
            </w:pPr>
            <w:r>
              <w:t>P</w:t>
            </w:r>
            <w:r w:rsidR="003456AC">
              <w:t>roviding accessible information</w:t>
            </w:r>
            <w:r w:rsidR="00801B65">
              <w:t xml:space="preserve"> and support</w:t>
            </w:r>
            <w:r w:rsidR="003456AC">
              <w:t xml:space="preserve"> for people in distress</w:t>
            </w:r>
          </w:p>
          <w:p w14:paraId="12826C9E" w14:textId="185F3794" w:rsidR="003456AC" w:rsidRPr="003456AC" w:rsidRDefault="00801B65" w:rsidP="003456AC">
            <w:r>
              <w:t>Someone who is experiencing cognitive or other emotional challenges may benefit from assistance to understand information to enable them to vote. This guidance may be provided to mental health services.</w:t>
            </w:r>
          </w:p>
          <w:p w14:paraId="5B97DFE1" w14:textId="1389E2E7" w:rsidR="00B461DF" w:rsidRPr="00861362" w:rsidRDefault="00B461DF" w:rsidP="004F4360"/>
        </w:tc>
      </w:tr>
      <w:tr w:rsidR="00B461DF" w14:paraId="29F307FC" w14:textId="77777777" w:rsidTr="004F4360">
        <w:tc>
          <w:tcPr>
            <w:tcW w:w="1056" w:type="dxa"/>
            <w:shd w:val="clear" w:color="auto" w:fill="auto"/>
          </w:tcPr>
          <w:p w14:paraId="53741566" w14:textId="77777777" w:rsidR="00B461DF" w:rsidRDefault="00B461DF" w:rsidP="004F4360">
            <w:r>
              <w:rPr>
                <w:noProof/>
              </w:rPr>
              <w:drawing>
                <wp:inline distT="0" distB="0" distL="0" distR="0" wp14:anchorId="336AE4AA" wp14:editId="26D31325">
                  <wp:extent cx="526774" cy="526774"/>
                  <wp:effectExtent l="0" t="0" r="6985" b="6985"/>
                  <wp:docPr id="275" name="Graphic 275"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6452" w:type="dxa"/>
          </w:tcPr>
          <w:p w14:paraId="2765BA4E" w14:textId="7C701781" w:rsidR="00B461DF" w:rsidRDefault="002F4103" w:rsidP="004F4360">
            <w:pPr>
              <w:pStyle w:val="Heading3-report"/>
            </w:pPr>
            <w:r>
              <w:t xml:space="preserve">Encourage people with lived experience to </w:t>
            </w:r>
            <w:r w:rsidR="00B42317">
              <w:t>apply for public sector jobs</w:t>
            </w:r>
          </w:p>
          <w:p w14:paraId="5D167434" w14:textId="29A2B225" w:rsidR="00B42317" w:rsidRPr="00B42317" w:rsidRDefault="00333374" w:rsidP="00B42317">
            <w:r>
              <w:t>You may consider what more you can do to encourage people with lived experience as consumers or as family members, carers or supporters, to apply for public sector roles.</w:t>
            </w:r>
          </w:p>
          <w:p w14:paraId="04A90A6C" w14:textId="1AB4F70D" w:rsidR="00B461DF" w:rsidRPr="008274CA" w:rsidRDefault="00B461DF" w:rsidP="004F4360"/>
        </w:tc>
        <w:tc>
          <w:tcPr>
            <w:tcW w:w="890" w:type="dxa"/>
          </w:tcPr>
          <w:p w14:paraId="64017AAB" w14:textId="23295279" w:rsidR="00B461DF" w:rsidRDefault="00B461DF" w:rsidP="004F4360"/>
        </w:tc>
        <w:tc>
          <w:tcPr>
            <w:tcW w:w="7048" w:type="dxa"/>
          </w:tcPr>
          <w:p w14:paraId="52EEB06C" w14:textId="47911040" w:rsidR="00B461DF" w:rsidRPr="00796694" w:rsidRDefault="00B461DF" w:rsidP="004F4360"/>
        </w:tc>
      </w:tr>
    </w:tbl>
    <w:p w14:paraId="495258D4" w14:textId="77777777" w:rsidR="00E42EF6" w:rsidRDefault="00E42EF6" w:rsidP="006B676F">
      <w:pPr>
        <w:sectPr w:rsidR="00E42EF6" w:rsidSect="00BD6C99">
          <w:pgSz w:w="16838" w:h="11906" w:orient="landscape"/>
          <w:pgMar w:top="720" w:right="720" w:bottom="720" w:left="720" w:header="708" w:footer="708" w:gutter="0"/>
          <w:cols w:space="708"/>
          <w:titlePg/>
          <w:docGrid w:linePitch="360"/>
        </w:sectPr>
      </w:pPr>
    </w:p>
    <w:p w14:paraId="2C6191C2" w14:textId="77777777" w:rsidR="00674481" w:rsidRDefault="00674481" w:rsidP="00674481">
      <w:pPr>
        <w:pStyle w:val="Heading1-report"/>
        <w:spacing w:before="0"/>
        <w:ind w:left="720" w:firstLine="720"/>
        <w:rPr>
          <w:noProof/>
        </w:rPr>
      </w:pPr>
    </w:p>
    <w:p w14:paraId="050A00B9" w14:textId="4BDE5B4E" w:rsidR="00A9204B" w:rsidRDefault="00354F77" w:rsidP="00674481">
      <w:pPr>
        <w:pStyle w:val="Heading1-report"/>
        <w:spacing w:before="0"/>
        <w:ind w:left="720" w:firstLine="720"/>
      </w:pPr>
      <w:r>
        <w:rPr>
          <w:noProof/>
        </w:rPr>
        <w:drawing>
          <wp:anchor distT="0" distB="0" distL="114300" distR="114300" simplePos="0" relativeHeight="251658281" behindDoc="0" locked="0" layoutInCell="1" allowOverlap="1" wp14:anchorId="66056DF2" wp14:editId="67B915D4">
            <wp:simplePos x="0" y="0"/>
            <wp:positionH relativeFrom="margin">
              <wp:align>left</wp:align>
            </wp:positionH>
            <wp:positionV relativeFrom="paragraph">
              <wp:posOffset>6754</wp:posOffset>
            </wp:positionV>
            <wp:extent cx="609600" cy="554182"/>
            <wp:effectExtent l="0" t="0" r="0" b="0"/>
            <wp:wrapNone/>
            <wp:docPr id="218" name="Picture 218" descr="People with headscarves and other religious gar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218" descr="People with headscarves and other religious garments"/>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t="9091"/>
                    <a:stretch/>
                  </pic:blipFill>
                  <pic:spPr bwMode="auto">
                    <a:xfrm>
                      <a:off x="0" y="0"/>
                      <a:ext cx="609600" cy="5541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204B">
        <w:t>Cultural rights (section 19)</w:t>
      </w:r>
    </w:p>
    <w:p w14:paraId="57509EFA" w14:textId="62CD96A5" w:rsidR="0086492A" w:rsidRDefault="006619C1" w:rsidP="0086492A">
      <w:r>
        <w:rPr>
          <w:noProof/>
        </w:rPr>
        <mc:AlternateContent>
          <mc:Choice Requires="wps">
            <w:drawing>
              <wp:anchor distT="45720" distB="45720" distL="114300" distR="114300" simplePos="0" relativeHeight="251658299" behindDoc="0" locked="0" layoutInCell="1" allowOverlap="1" wp14:anchorId="5EC3819A" wp14:editId="4E3FF8CB">
                <wp:simplePos x="0" y="0"/>
                <wp:positionH relativeFrom="margin">
                  <wp:align>right</wp:align>
                </wp:positionH>
                <wp:positionV relativeFrom="paragraph">
                  <wp:posOffset>484505</wp:posOffset>
                </wp:positionV>
                <wp:extent cx="5744845" cy="1404620"/>
                <wp:effectExtent l="0" t="0" r="27305" b="20955"/>
                <wp:wrapSquare wrapText="bothSides"/>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193" cy="1404620"/>
                        </a:xfrm>
                        <a:prstGeom prst="rect">
                          <a:avLst/>
                        </a:prstGeom>
                        <a:solidFill>
                          <a:srgbClr val="201547"/>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5D6EF9B0" w14:textId="77777777" w:rsidR="006619C1" w:rsidRPr="006619C1" w:rsidRDefault="006619C1" w:rsidP="006619C1">
                            <w:pPr>
                              <w:pStyle w:val="Heading3-report"/>
                              <w:shd w:val="clear" w:color="auto" w:fill="201547"/>
                              <w:rPr>
                                <w:color w:val="FFFFFF" w:themeColor="background1"/>
                              </w:rPr>
                            </w:pPr>
                            <w:r w:rsidRPr="006619C1">
                              <w:rPr>
                                <w:color w:val="FFFFFF" w:themeColor="background1"/>
                              </w:rPr>
                              <w:t>Section 19 Cultural rights</w:t>
                            </w:r>
                          </w:p>
                          <w:p w14:paraId="056DACAF" w14:textId="77777777" w:rsidR="006619C1" w:rsidRPr="006619C1" w:rsidRDefault="006619C1" w:rsidP="00E225B4">
                            <w:pPr>
                              <w:pStyle w:val="ListParagraph"/>
                              <w:numPr>
                                <w:ilvl w:val="0"/>
                                <w:numId w:val="23"/>
                              </w:numPr>
                              <w:shd w:val="clear" w:color="auto" w:fill="201547"/>
                              <w:rPr>
                                <w:color w:val="FFFFFF" w:themeColor="background1"/>
                              </w:rPr>
                            </w:pPr>
                            <w:r w:rsidRPr="006619C1">
                              <w:rPr>
                                <w:color w:val="FFFFFF" w:themeColor="background1"/>
                              </w:rPr>
                              <w:t>All persons with a particular cultural, religious, racial or linguistic background must not be denied the right, in community with other persons of that background, to enjoy their culture, to declare and practice their religion and to use their language.</w:t>
                            </w:r>
                          </w:p>
                          <w:p w14:paraId="5B865D96" w14:textId="77777777" w:rsidR="006619C1" w:rsidRPr="006619C1" w:rsidRDefault="006619C1" w:rsidP="00E225B4">
                            <w:pPr>
                              <w:pStyle w:val="ListParagraph"/>
                              <w:numPr>
                                <w:ilvl w:val="0"/>
                                <w:numId w:val="23"/>
                              </w:numPr>
                              <w:shd w:val="clear" w:color="auto" w:fill="201547"/>
                              <w:rPr>
                                <w:color w:val="FFFFFF" w:themeColor="background1"/>
                              </w:rPr>
                            </w:pPr>
                            <w:r w:rsidRPr="006619C1">
                              <w:rPr>
                                <w:color w:val="FFFFFF" w:themeColor="background1"/>
                              </w:rPr>
                              <w:t>Aboriginal persons hold distinct cultural rights and must not be denied the right, with other members of their community —</w:t>
                            </w:r>
                          </w:p>
                          <w:p w14:paraId="4CC11D2E" w14:textId="77777777" w:rsidR="006619C1" w:rsidRPr="006619C1" w:rsidRDefault="006619C1" w:rsidP="00E225B4">
                            <w:pPr>
                              <w:pStyle w:val="ListParagraph"/>
                              <w:numPr>
                                <w:ilvl w:val="0"/>
                                <w:numId w:val="24"/>
                              </w:numPr>
                              <w:shd w:val="clear" w:color="auto" w:fill="201547"/>
                              <w:rPr>
                                <w:color w:val="FFFFFF" w:themeColor="background1"/>
                              </w:rPr>
                            </w:pPr>
                            <w:r w:rsidRPr="006619C1">
                              <w:rPr>
                                <w:color w:val="FFFFFF" w:themeColor="background1"/>
                              </w:rPr>
                              <w:t>to enjoy their identity and culture; and</w:t>
                            </w:r>
                          </w:p>
                          <w:p w14:paraId="278957D0" w14:textId="77777777" w:rsidR="006619C1" w:rsidRPr="006619C1" w:rsidRDefault="006619C1" w:rsidP="00E225B4">
                            <w:pPr>
                              <w:pStyle w:val="ListParagraph"/>
                              <w:numPr>
                                <w:ilvl w:val="0"/>
                                <w:numId w:val="24"/>
                              </w:numPr>
                              <w:shd w:val="clear" w:color="auto" w:fill="201547"/>
                              <w:rPr>
                                <w:color w:val="FFFFFF" w:themeColor="background1"/>
                              </w:rPr>
                            </w:pPr>
                            <w:r w:rsidRPr="006619C1">
                              <w:rPr>
                                <w:color w:val="FFFFFF" w:themeColor="background1"/>
                              </w:rPr>
                              <w:t>to maintain and use their language; and</w:t>
                            </w:r>
                          </w:p>
                          <w:p w14:paraId="3B6832C2" w14:textId="77777777" w:rsidR="006619C1" w:rsidRPr="006619C1" w:rsidRDefault="006619C1" w:rsidP="00E225B4">
                            <w:pPr>
                              <w:pStyle w:val="ListParagraph"/>
                              <w:numPr>
                                <w:ilvl w:val="0"/>
                                <w:numId w:val="24"/>
                              </w:numPr>
                              <w:shd w:val="clear" w:color="auto" w:fill="201547"/>
                              <w:rPr>
                                <w:color w:val="FFFFFF" w:themeColor="background1"/>
                              </w:rPr>
                            </w:pPr>
                            <w:r w:rsidRPr="006619C1">
                              <w:rPr>
                                <w:color w:val="FFFFFF" w:themeColor="background1"/>
                              </w:rPr>
                              <w:t>to maintain their kinship ties; and</w:t>
                            </w:r>
                          </w:p>
                          <w:p w14:paraId="0B9E634D" w14:textId="753633A5" w:rsidR="006619C1" w:rsidRPr="006619C1" w:rsidRDefault="006619C1" w:rsidP="00E225B4">
                            <w:pPr>
                              <w:pStyle w:val="ListParagraph"/>
                              <w:numPr>
                                <w:ilvl w:val="0"/>
                                <w:numId w:val="24"/>
                              </w:numPr>
                              <w:shd w:val="clear" w:color="auto" w:fill="201547"/>
                              <w:rPr>
                                <w:color w:val="FFFFFF" w:themeColor="background1"/>
                              </w:rPr>
                            </w:pPr>
                            <w:r w:rsidRPr="006619C1">
                              <w:rPr>
                                <w:color w:val="FFFFFF" w:themeColor="background1"/>
                              </w:rPr>
                              <w:t>to maintain their distinctive spiritual, material and economic relationship with the land and waters and other resources with which they have a connection under traditional laws and customs.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C3819A" id="Text Box 259" o:spid="_x0000_s1049" type="#_x0000_t202" style="position:absolute;margin-left:401.15pt;margin-top:38.15pt;width:452.35pt;height:110.6pt;z-index:25165829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" fillcolor="#201547" strokecolor="#1b383a [1604]" strokeweight="1pt">
                <v:textbox style="mso-fit-shape-to-text:t">
                  <w:txbxContent>
                    <w:p w14:paraId="5D6EF9B0" w14:textId="77777777" w:rsidR="006619C1" w:rsidRPr="006619C1" w:rsidRDefault="006619C1" w:rsidP="006619C1">
                      <w:pPr>
                        <w:pStyle w:val="Heading3-report"/>
                        <w:shd w:val="clear" w:color="auto" w:fill="201547"/>
                        <w:rPr>
                          <w:color w:val="FFFFFF" w:themeColor="background1"/>
                        </w:rPr>
                      </w:pPr>
                      <w:r w:rsidRPr="006619C1">
                        <w:rPr>
                          <w:color w:val="FFFFFF" w:themeColor="background1"/>
                        </w:rPr>
                        <w:t>Section 19 Cultural rights</w:t>
                      </w:r>
                    </w:p>
                    <w:p w14:paraId="056DACAF" w14:textId="77777777" w:rsidR="006619C1" w:rsidRPr="006619C1" w:rsidRDefault="006619C1" w:rsidP="00E225B4">
                      <w:pPr>
                        <w:pStyle w:val="ListParagraph"/>
                        <w:numPr>
                          <w:ilvl w:val="0"/>
                          <w:numId w:val="23"/>
                        </w:numPr>
                        <w:shd w:val="clear" w:color="auto" w:fill="201547"/>
                        <w:rPr>
                          <w:color w:val="FFFFFF" w:themeColor="background1"/>
                        </w:rPr>
                      </w:pPr>
                      <w:r w:rsidRPr="006619C1">
                        <w:rPr>
                          <w:color w:val="FFFFFF" w:themeColor="background1"/>
                        </w:rPr>
                        <w:t>All persons with a particular cultural, religious, racial or linguistic background must not be denied the right, in community with other persons of that background, to enjoy their culture, to declare and practice their religion and to use their language.</w:t>
                      </w:r>
                    </w:p>
                    <w:p w14:paraId="5B865D96" w14:textId="77777777" w:rsidR="006619C1" w:rsidRPr="006619C1" w:rsidRDefault="006619C1" w:rsidP="00E225B4">
                      <w:pPr>
                        <w:pStyle w:val="ListParagraph"/>
                        <w:numPr>
                          <w:ilvl w:val="0"/>
                          <w:numId w:val="23"/>
                        </w:numPr>
                        <w:shd w:val="clear" w:color="auto" w:fill="201547"/>
                        <w:rPr>
                          <w:color w:val="FFFFFF" w:themeColor="background1"/>
                        </w:rPr>
                      </w:pPr>
                      <w:r w:rsidRPr="006619C1">
                        <w:rPr>
                          <w:color w:val="FFFFFF" w:themeColor="background1"/>
                        </w:rPr>
                        <w:t>Aboriginal persons hold distinct cultural rights and must not be denied the right, with other members of their community —</w:t>
                      </w:r>
                    </w:p>
                    <w:p w14:paraId="4CC11D2E" w14:textId="77777777" w:rsidR="006619C1" w:rsidRPr="006619C1" w:rsidRDefault="006619C1" w:rsidP="00E225B4">
                      <w:pPr>
                        <w:pStyle w:val="ListParagraph"/>
                        <w:numPr>
                          <w:ilvl w:val="0"/>
                          <w:numId w:val="24"/>
                        </w:numPr>
                        <w:shd w:val="clear" w:color="auto" w:fill="201547"/>
                        <w:rPr>
                          <w:color w:val="FFFFFF" w:themeColor="background1"/>
                        </w:rPr>
                      </w:pPr>
                      <w:r w:rsidRPr="006619C1">
                        <w:rPr>
                          <w:color w:val="FFFFFF" w:themeColor="background1"/>
                        </w:rPr>
                        <w:t>to enjoy their identity and culture; and</w:t>
                      </w:r>
                    </w:p>
                    <w:p w14:paraId="278957D0" w14:textId="77777777" w:rsidR="006619C1" w:rsidRPr="006619C1" w:rsidRDefault="006619C1" w:rsidP="00E225B4">
                      <w:pPr>
                        <w:pStyle w:val="ListParagraph"/>
                        <w:numPr>
                          <w:ilvl w:val="0"/>
                          <w:numId w:val="24"/>
                        </w:numPr>
                        <w:shd w:val="clear" w:color="auto" w:fill="201547"/>
                        <w:rPr>
                          <w:color w:val="FFFFFF" w:themeColor="background1"/>
                        </w:rPr>
                      </w:pPr>
                      <w:r w:rsidRPr="006619C1">
                        <w:rPr>
                          <w:color w:val="FFFFFF" w:themeColor="background1"/>
                        </w:rPr>
                        <w:t>to maintain and use their language; and</w:t>
                      </w:r>
                    </w:p>
                    <w:p w14:paraId="3B6832C2" w14:textId="77777777" w:rsidR="006619C1" w:rsidRPr="006619C1" w:rsidRDefault="006619C1" w:rsidP="00E225B4">
                      <w:pPr>
                        <w:pStyle w:val="ListParagraph"/>
                        <w:numPr>
                          <w:ilvl w:val="0"/>
                          <w:numId w:val="24"/>
                        </w:numPr>
                        <w:shd w:val="clear" w:color="auto" w:fill="201547"/>
                        <w:rPr>
                          <w:color w:val="FFFFFF" w:themeColor="background1"/>
                        </w:rPr>
                      </w:pPr>
                      <w:r w:rsidRPr="006619C1">
                        <w:rPr>
                          <w:color w:val="FFFFFF" w:themeColor="background1"/>
                        </w:rPr>
                        <w:t>to maintain their kinship ties; and</w:t>
                      </w:r>
                    </w:p>
                    <w:p w14:paraId="0B9E634D" w14:textId="753633A5" w:rsidR="006619C1" w:rsidRPr="006619C1" w:rsidRDefault="006619C1" w:rsidP="00E225B4">
                      <w:pPr>
                        <w:pStyle w:val="ListParagraph"/>
                        <w:numPr>
                          <w:ilvl w:val="0"/>
                          <w:numId w:val="24"/>
                        </w:numPr>
                        <w:shd w:val="clear" w:color="auto" w:fill="201547"/>
                        <w:rPr>
                          <w:color w:val="FFFFFF" w:themeColor="background1"/>
                        </w:rPr>
                      </w:pPr>
                      <w:r w:rsidRPr="006619C1">
                        <w:rPr>
                          <w:color w:val="FFFFFF" w:themeColor="background1"/>
                        </w:rPr>
                        <w:t>to maintain their distinctive spiritual, material and economic relationship with the land and waters and other resources with which they have a connection under traditional laws and customs.</w:t>
                      </w:r>
                    </w:p>
                  </w:txbxContent>
                </v:textbox>
                <w10:wrap type="square" anchorx="margin"/>
              </v:shape>
            </w:pict>
          </mc:Fallback>
        </mc:AlternateContent>
      </w:r>
    </w:p>
    <w:p w14:paraId="1345B7A6" w14:textId="52E8D4DA" w:rsidR="00C56787" w:rsidRDefault="00D53845" w:rsidP="006619C1">
      <w:pPr>
        <w:pStyle w:val="BoldedRightsIntro"/>
      </w:pPr>
      <w:r>
        <w:t xml:space="preserve">All Victorians should be free to </w:t>
      </w:r>
      <w:r w:rsidR="00567370">
        <w:t xml:space="preserve">be and express themselves, including their culture, equally. </w:t>
      </w:r>
      <w:r w:rsidR="0045165D">
        <w:t>However,</w:t>
      </w:r>
      <w:r w:rsidR="00567370">
        <w:t xml:space="preserve"> some communities, such as culturally and linguistically diverse communities and Aboriginal Victorians continue to experience racism</w:t>
      </w:r>
      <w:r w:rsidR="00FD5FA7">
        <w:t xml:space="preserve"> and discrimination.</w:t>
      </w:r>
      <w:r w:rsidR="00C10ACF" w:rsidRPr="0091262D">
        <w:rPr>
          <w:rStyle w:val="FootnoteReference"/>
        </w:rPr>
        <w:footnoteReference w:id="163"/>
      </w:r>
      <w:r w:rsidR="00FD5FA7">
        <w:t xml:space="preserve"> Aboriginal Victorians experience this against the backdrop of ongoing processes of colonisation and </w:t>
      </w:r>
      <w:r w:rsidR="0045165D">
        <w:t>intergenerational trauma.</w:t>
      </w:r>
      <w:r w:rsidR="006C5F08">
        <w:t xml:space="preserve"> </w:t>
      </w:r>
      <w:r w:rsidR="00C670D2">
        <w:t xml:space="preserve">Such experiences can have profound </w:t>
      </w:r>
      <w:r w:rsidR="008D4FBB">
        <w:t>effects</w:t>
      </w:r>
      <w:r w:rsidR="001B07BD">
        <w:t xml:space="preserve"> </w:t>
      </w:r>
      <w:r w:rsidR="00C670D2">
        <w:t xml:space="preserve">on people’s mental </w:t>
      </w:r>
      <w:r w:rsidR="009B167B">
        <w:t>health</w:t>
      </w:r>
      <w:r w:rsidR="00C670D2">
        <w:t xml:space="preserve"> and wellbeing.</w:t>
      </w:r>
      <w:r w:rsidR="00C670D2" w:rsidRPr="0091262D">
        <w:rPr>
          <w:rStyle w:val="FootnoteReference"/>
        </w:rPr>
        <w:footnoteReference w:id="164"/>
      </w:r>
      <w:r w:rsidR="009B167B">
        <w:t xml:space="preserve"> Th</w:t>
      </w:r>
      <w:r w:rsidR="003E5FC0">
        <w:t>ese experiences</w:t>
      </w:r>
      <w:r w:rsidR="009B167B">
        <w:t xml:space="preserve"> occur despite legal protections against discrimination</w:t>
      </w:r>
      <w:r w:rsidR="009B167B" w:rsidRPr="0091262D">
        <w:rPr>
          <w:rStyle w:val="FootnoteReference"/>
        </w:rPr>
        <w:footnoteReference w:id="165"/>
      </w:r>
      <w:r w:rsidR="009B167B">
        <w:t xml:space="preserve"> and vilification</w:t>
      </w:r>
      <w:r w:rsidR="003E5FC0">
        <w:t>,</w:t>
      </w:r>
      <w:r w:rsidR="00BA15D4" w:rsidRPr="0091262D">
        <w:rPr>
          <w:rStyle w:val="FootnoteReference"/>
        </w:rPr>
        <w:footnoteReference w:id="166"/>
      </w:r>
      <w:r w:rsidR="009B167B">
        <w:t xml:space="preserve"> as well as the right to culture under</w:t>
      </w:r>
      <w:r w:rsidR="00435DAC">
        <w:t xml:space="preserve"> section 19 of</w:t>
      </w:r>
      <w:r w:rsidR="009B167B">
        <w:t xml:space="preserve"> the Charter.</w:t>
      </w:r>
      <w:r w:rsidR="001A62A6">
        <w:t xml:space="preserve"> The gap between the law and the lived experience of the law invites reflection on where human rights can be better embedded in our existing systems and institutions, including in mental health</w:t>
      </w:r>
      <w:r w:rsidR="00BA07FC">
        <w:t xml:space="preserve"> </w:t>
      </w:r>
      <w:r w:rsidR="001A62A6">
        <w:t xml:space="preserve">care. </w:t>
      </w:r>
    </w:p>
    <w:p w14:paraId="377948DA" w14:textId="322EE2FB" w:rsidR="00F819FD" w:rsidRDefault="00F819FD" w:rsidP="00F819FD">
      <w:pPr>
        <w:pStyle w:val="Heading2-report"/>
      </w:pPr>
      <w:r>
        <w:lastRenderedPageBreak/>
        <w:t>Defining terms in this right</w:t>
      </w:r>
    </w:p>
    <w:p w14:paraId="7188DB64" w14:textId="682841EF" w:rsidR="00FE706C" w:rsidRDefault="00B01503" w:rsidP="00FE706C">
      <w:r>
        <w:t xml:space="preserve">There are shared elements underpinning the rights in section 19(1) and 19(2). First, the rights do not just apply to individuals, they apply to </w:t>
      </w:r>
      <w:r w:rsidR="008D4DCC">
        <w:t>people in</w:t>
      </w:r>
      <w:r>
        <w:t xml:space="preserve"> community</w:t>
      </w:r>
      <w:r w:rsidR="008D4DCC">
        <w:t xml:space="preserve"> with other</w:t>
      </w:r>
      <w:r>
        <w:t>.</w:t>
      </w:r>
      <w:r w:rsidR="00491D8B" w:rsidRPr="0091262D">
        <w:rPr>
          <w:rStyle w:val="FootnoteReference"/>
        </w:rPr>
        <w:footnoteReference w:id="167"/>
      </w:r>
      <w:r w:rsidR="00E54F32">
        <w:t xml:space="preserve"> Second, culture remains undefined within the Charter</w:t>
      </w:r>
      <w:r w:rsidR="00EB5F52">
        <w:t xml:space="preserve">, but </w:t>
      </w:r>
      <w:r w:rsidR="00E16E84">
        <w:t xml:space="preserve">international </w:t>
      </w:r>
      <w:r w:rsidR="00F819FD">
        <w:t>evidence</w:t>
      </w:r>
      <w:r w:rsidR="00E62C59">
        <w:t xml:space="preserve"> </w:t>
      </w:r>
      <w:r w:rsidR="00EB5F52">
        <w:t>indicate</w:t>
      </w:r>
      <w:r w:rsidR="00F819FD">
        <w:t>s</w:t>
      </w:r>
      <w:r w:rsidR="00EB5F52">
        <w:t xml:space="preserve"> that culture should be understood broadly</w:t>
      </w:r>
      <w:r w:rsidR="00852C80">
        <w:t xml:space="preserve"> to not just include belief systems</w:t>
      </w:r>
      <w:r w:rsidR="00342BCF">
        <w:t xml:space="preserve"> and practices, but also social and economic activities where they are part</w:t>
      </w:r>
      <w:r w:rsidR="006A6C12">
        <w:t xml:space="preserve"> </w:t>
      </w:r>
      <w:r w:rsidR="0020420C">
        <w:t>a group’s tradition.</w:t>
      </w:r>
      <w:r w:rsidR="00A226BF" w:rsidRPr="0091262D">
        <w:rPr>
          <w:rStyle w:val="FootnoteReference"/>
        </w:rPr>
        <w:footnoteReference w:id="168"/>
      </w:r>
      <w:r w:rsidR="006D5244">
        <w:t xml:space="preserve"> </w:t>
      </w:r>
      <w:r w:rsidR="00FE706C">
        <w:t>Importantly for a mental health policy design context, cultural rights may also involve a right to participate in decision-making that affects the particular cultural group.</w:t>
      </w:r>
      <w:r w:rsidR="00FE706C" w:rsidRPr="0091262D">
        <w:rPr>
          <w:rStyle w:val="FootnoteReference"/>
        </w:rPr>
        <w:footnoteReference w:id="169"/>
      </w:r>
    </w:p>
    <w:p w14:paraId="302FCCAC" w14:textId="2F1844CA" w:rsidR="00C56787" w:rsidRDefault="0003716E" w:rsidP="00F819FD">
      <w:pPr>
        <w:pStyle w:val="Heading2-report"/>
      </w:pPr>
      <w:r>
        <w:t>Cultural, religious, racial and linguistic rights</w:t>
      </w:r>
    </w:p>
    <w:p w14:paraId="7DBE045B" w14:textId="2BC65ECD" w:rsidR="0003716E" w:rsidRDefault="00F909D2" w:rsidP="0003716E">
      <w:r>
        <w:t xml:space="preserve">There are several instances where </w:t>
      </w:r>
      <w:r w:rsidR="009E4429">
        <w:t>cultural, religious, racial and linguistic rights may be at issue. For example,</w:t>
      </w:r>
      <w:r w:rsidR="00F33B18">
        <w:t xml:space="preserve"> the right was protecte</w:t>
      </w:r>
      <w:r w:rsidR="00105D53">
        <w:t>d, in effect, in Bendigo, when planning for an Islamic Mosque proceeded despite small resistance from some groups</w:t>
      </w:r>
      <w:r w:rsidR="008C6117">
        <w:t xml:space="preserve"> </w:t>
      </w:r>
      <w:r w:rsidR="000F42CD">
        <w:t>in the community</w:t>
      </w:r>
      <w:r w:rsidR="00105D53">
        <w:t>.</w:t>
      </w:r>
      <w:r w:rsidR="00F9215B" w:rsidRPr="0091262D">
        <w:rPr>
          <w:rStyle w:val="FootnoteReference"/>
        </w:rPr>
        <w:footnoteReference w:id="170"/>
      </w:r>
      <w:r w:rsidR="005D4AB7">
        <w:t xml:space="preserve"> Similarly, limitations, such as bans on the use of particular languages, may be unlawful.</w:t>
      </w:r>
      <w:r w:rsidR="005D4AB7" w:rsidRPr="0091262D">
        <w:rPr>
          <w:rStyle w:val="FootnoteReference"/>
        </w:rPr>
        <w:footnoteReference w:id="171"/>
      </w:r>
      <w:r w:rsidR="00647F06">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0"/>
      </w:tblGrid>
      <w:tr w:rsidR="001A140E" w14:paraId="75E4B0C4" w14:textId="77777777" w:rsidTr="6D69D0D5">
        <w:tc>
          <w:tcPr>
            <w:tcW w:w="9060" w:type="dxa"/>
            <w:tcBorders>
              <w:top w:val="thickThinSmallGap" w:sz="24" w:space="0" w:color="201547"/>
              <w:bottom w:val="thickThinSmallGap" w:sz="24" w:space="0" w:color="201547"/>
            </w:tcBorders>
            <w:shd w:val="clear" w:color="auto" w:fill="F2F2F2" w:themeFill="background1" w:themeFillShade="F2"/>
          </w:tcPr>
          <w:p w14:paraId="7710FD71" w14:textId="3D84A319" w:rsidR="001A140E" w:rsidRPr="00FE43F4" w:rsidRDefault="00FC73AA" w:rsidP="0003716E">
            <w:pPr>
              <w:rPr>
                <w:b/>
                <w:bCs/>
                <w:color w:val="201547"/>
                <w:sz w:val="28"/>
                <w:szCs w:val="24"/>
              </w:rPr>
            </w:pPr>
            <w:r w:rsidRPr="00FE43F4">
              <w:rPr>
                <w:b/>
                <w:bCs/>
                <w:color w:val="201547"/>
                <w:sz w:val="28"/>
                <w:szCs w:val="24"/>
              </w:rPr>
              <w:t>How could culture, mental health and</w:t>
            </w:r>
            <w:r w:rsidR="007D206A" w:rsidRPr="00FE43F4">
              <w:rPr>
                <w:b/>
                <w:bCs/>
                <w:color w:val="201547"/>
                <w:sz w:val="28"/>
                <w:szCs w:val="24"/>
              </w:rPr>
              <w:t xml:space="preserve"> human </w:t>
            </w:r>
            <w:r w:rsidRPr="00FE43F4">
              <w:rPr>
                <w:b/>
                <w:bCs/>
                <w:color w:val="201547"/>
                <w:sz w:val="28"/>
                <w:szCs w:val="24"/>
              </w:rPr>
              <w:t>rights intersect?</w:t>
            </w:r>
          </w:p>
          <w:p w14:paraId="1D58B176" w14:textId="7AAEFC9F" w:rsidR="00DF7040" w:rsidRDefault="00E54789" w:rsidP="0003716E">
            <w:r>
              <w:t>Culture, mental health and human rights intersect regularly</w:t>
            </w:r>
            <w:r w:rsidR="009B6F29">
              <w:t xml:space="preserve"> in the mental health </w:t>
            </w:r>
            <w:r w:rsidR="008A05AE">
              <w:t xml:space="preserve">and wellbeing </w:t>
            </w:r>
            <w:r w:rsidR="009B6F29">
              <w:t xml:space="preserve">system. Sometimes those connections are positive. Other times those connections can be negative. </w:t>
            </w:r>
            <w:r w:rsidR="009D3293">
              <w:t xml:space="preserve">Often, these intersections will have implications for someone’s human rights, including their cultural rights under the Charter. </w:t>
            </w:r>
            <w:r w:rsidR="009B6F29">
              <w:t xml:space="preserve">It is important to understand these </w:t>
            </w:r>
            <w:r w:rsidR="00DF7040">
              <w:t>connections to ensure equitable outcomes for all Victorians and to avoid unintended consequences.</w:t>
            </w:r>
          </w:p>
          <w:p w14:paraId="325C466C" w14:textId="77777777" w:rsidR="00DF7040" w:rsidRDefault="00DF7040" w:rsidP="0003716E"/>
          <w:p w14:paraId="7CA824DB" w14:textId="40850805" w:rsidR="004D54F5" w:rsidRDefault="002066B7" w:rsidP="0003716E">
            <w:r>
              <w:t>Some of the way that m</w:t>
            </w:r>
            <w:r w:rsidR="00DF7040">
              <w:t>ental health and culture can intersect</w:t>
            </w:r>
            <w:r w:rsidR="004D54F5">
              <w:t xml:space="preserve"> in</w:t>
            </w:r>
            <w:r>
              <w:t>clude</w:t>
            </w:r>
            <w:r w:rsidR="004D54F5">
              <w:t>:</w:t>
            </w:r>
          </w:p>
          <w:p w14:paraId="47517FC2" w14:textId="13843764" w:rsidR="006A4538" w:rsidRDefault="001B6E74" w:rsidP="00E225B4">
            <w:pPr>
              <w:pStyle w:val="ListParagraph"/>
              <w:numPr>
                <w:ilvl w:val="0"/>
                <w:numId w:val="30"/>
              </w:numPr>
            </w:pPr>
            <w:r>
              <w:t xml:space="preserve">in how mental health frameworks can </w:t>
            </w:r>
            <w:r w:rsidR="00E54D85">
              <w:t xml:space="preserve">impose a Western conception of disorder over </w:t>
            </w:r>
            <w:r w:rsidR="006A4538">
              <w:t>culturally layered experience of people from particular communities</w:t>
            </w:r>
            <w:r w:rsidR="001A512B">
              <w:t xml:space="preserve">, </w:t>
            </w:r>
            <w:r w:rsidR="002877C1">
              <w:t>proving ineffective or harmful</w:t>
            </w:r>
            <w:r w:rsidR="006A4538" w:rsidRPr="0091262D">
              <w:rPr>
                <w:rStyle w:val="FootnoteReference"/>
              </w:rPr>
              <w:footnoteReference w:id="172"/>
            </w:r>
          </w:p>
          <w:p w14:paraId="4F721EEA" w14:textId="1A443FD5" w:rsidR="001A140E" w:rsidRDefault="00A43571" w:rsidP="00E225B4">
            <w:pPr>
              <w:pStyle w:val="ListParagraph"/>
              <w:numPr>
                <w:ilvl w:val="0"/>
                <w:numId w:val="30"/>
              </w:numPr>
            </w:pPr>
            <w:r>
              <w:lastRenderedPageBreak/>
              <w:t>in the use of</w:t>
            </w:r>
            <w:r w:rsidR="001F43C5">
              <w:t xml:space="preserve"> psychological assessments or</w:t>
            </w:r>
            <w:r>
              <w:t xml:space="preserve"> instruments that may support and recognise, or hinder and undermine, </w:t>
            </w:r>
            <w:r w:rsidR="001F43C5">
              <w:t>a person or group’s culture</w:t>
            </w:r>
            <w:r w:rsidR="001F43C5" w:rsidRPr="0091262D">
              <w:rPr>
                <w:rStyle w:val="FootnoteReference"/>
              </w:rPr>
              <w:footnoteReference w:id="173"/>
            </w:r>
          </w:p>
          <w:p w14:paraId="5DB23FBE" w14:textId="3540FD06" w:rsidR="006A4538" w:rsidRDefault="006F642F" w:rsidP="00E225B4">
            <w:pPr>
              <w:pStyle w:val="ListParagraph"/>
              <w:numPr>
                <w:ilvl w:val="0"/>
                <w:numId w:val="30"/>
              </w:numPr>
            </w:pPr>
            <w:r>
              <w:t xml:space="preserve">in the place </w:t>
            </w:r>
            <w:r w:rsidR="00546EC4">
              <w:t>and nature of mental health treatments</w:t>
            </w:r>
            <w:r w:rsidR="00546EC4" w:rsidRPr="0091262D">
              <w:rPr>
                <w:rStyle w:val="FootnoteReference"/>
              </w:rPr>
              <w:footnoteReference w:id="174"/>
            </w:r>
          </w:p>
          <w:p w14:paraId="53A3FEFF" w14:textId="076B83EB" w:rsidR="00452734" w:rsidRDefault="00942462" w:rsidP="00E225B4">
            <w:pPr>
              <w:pStyle w:val="ListParagraph"/>
              <w:numPr>
                <w:ilvl w:val="0"/>
                <w:numId w:val="30"/>
              </w:numPr>
            </w:pPr>
            <w:r>
              <w:t>in the stigma and discrimination faced by people from some culturally and linguistically diverse communities</w:t>
            </w:r>
            <w:r w:rsidR="00BE5653" w:rsidRPr="0091262D">
              <w:rPr>
                <w:rStyle w:val="FootnoteReference"/>
              </w:rPr>
              <w:footnoteReference w:id="175"/>
            </w:r>
          </w:p>
          <w:p w14:paraId="5C3FFA9F" w14:textId="4A916F86" w:rsidR="00BE5653" w:rsidRDefault="00616FB8" w:rsidP="00E225B4">
            <w:pPr>
              <w:pStyle w:val="ListParagraph"/>
              <w:numPr>
                <w:ilvl w:val="0"/>
                <w:numId w:val="30"/>
              </w:numPr>
            </w:pPr>
            <w:r>
              <w:t>in the participation</w:t>
            </w:r>
            <w:r w:rsidR="004C5C4F">
              <w:t xml:space="preserve"> and integration</w:t>
            </w:r>
            <w:r>
              <w:t xml:space="preserve"> of mental health systems and practitioners with other systems that may</w:t>
            </w:r>
            <w:r w:rsidR="00165BBF">
              <w:t xml:space="preserve"> give rise to negative experiences from culturally and linguistically diverse communities or Aboriginal Victorians</w:t>
            </w:r>
            <w:r>
              <w:t>, such a</w:t>
            </w:r>
            <w:r w:rsidR="00165BBF">
              <w:t>s the criminal justice system or the child</w:t>
            </w:r>
            <w:r w:rsidR="00BA5BB8">
              <w:t xml:space="preserve"> </w:t>
            </w:r>
            <w:r w:rsidR="00165BBF">
              <w:t>protection system</w:t>
            </w:r>
            <w:r w:rsidR="0043246B">
              <w:t>.</w:t>
            </w:r>
            <w:r w:rsidR="004C5C4F" w:rsidRPr="0091262D">
              <w:rPr>
                <w:rStyle w:val="FootnoteReference"/>
              </w:rPr>
              <w:footnoteReference w:id="176"/>
            </w:r>
          </w:p>
          <w:p w14:paraId="691A5DFE" w14:textId="4F077187" w:rsidR="00165BBF" w:rsidRDefault="005414B2" w:rsidP="005414B2">
            <w:r>
              <w:t xml:space="preserve"> </w:t>
            </w:r>
          </w:p>
          <w:p w14:paraId="1DBD07BA" w14:textId="2AD10ADD" w:rsidR="001A140E" w:rsidRDefault="005414B2" w:rsidP="0003716E">
            <w:r>
              <w:t xml:space="preserve">Culture is so deeply embedded in conceptions of mental health and wellbeing that </w:t>
            </w:r>
            <w:r w:rsidR="00400FF4">
              <w:t>great caution should be given when applying neutral-appearing policies to diverse populations.</w:t>
            </w:r>
          </w:p>
          <w:p w14:paraId="38E9A17B" w14:textId="6818E2AD" w:rsidR="001A140E" w:rsidRDefault="001A140E" w:rsidP="0003716E"/>
        </w:tc>
      </w:tr>
    </w:tbl>
    <w:p w14:paraId="7B9F320A" w14:textId="77777777" w:rsidR="001A140E" w:rsidRDefault="001A140E" w:rsidP="0003716E"/>
    <w:p w14:paraId="282FD7A2" w14:textId="6B3196F2" w:rsidR="0003716E" w:rsidRDefault="0003716E" w:rsidP="00542A11">
      <w:pPr>
        <w:pStyle w:val="Heading2-report"/>
      </w:pPr>
      <w:r>
        <w:t>Aboriginal cultural rights</w:t>
      </w:r>
    </w:p>
    <w:p w14:paraId="6DCCD7B5" w14:textId="1494483E" w:rsidR="007F5B8D" w:rsidRDefault="007F5B8D" w:rsidP="0003716E">
      <w:r>
        <w:t>The Charter makes specific mention of Aboriginal Victorians and their rights.</w:t>
      </w:r>
      <w:r w:rsidR="00542A11">
        <w:t xml:space="preserve"> It does so in the preamble of the Charter</w:t>
      </w:r>
      <w:r w:rsidR="00030197">
        <w:t xml:space="preserve"> and</w:t>
      </w:r>
      <w:r w:rsidR="00542A11">
        <w:t xml:space="preserve"> more substantively in section 19(2).</w:t>
      </w:r>
    </w:p>
    <w:p w14:paraId="53995C0D" w14:textId="06EB5CDA" w:rsidR="00542A11" w:rsidRDefault="00542A11" w:rsidP="00542A11">
      <w:pPr>
        <w:pStyle w:val="Heading3-report"/>
      </w:pPr>
      <w:r>
        <w:t>Where this may be relevant to your work</w:t>
      </w:r>
    </w:p>
    <w:p w14:paraId="0902DBBF" w14:textId="1B0B59E1" w:rsidR="00542A11" w:rsidRDefault="00542A11" w:rsidP="00542A11">
      <w:r>
        <w:t>There are a range of scenarios where this may be relevant to your work. These include</w:t>
      </w:r>
      <w:r w:rsidR="00760CFC">
        <w:t xml:space="preserve"> when</w:t>
      </w:r>
      <w:r>
        <w:t>:</w:t>
      </w:r>
    </w:p>
    <w:p w14:paraId="10208C9F" w14:textId="113E298F" w:rsidR="00542A11" w:rsidRDefault="00760CFC" w:rsidP="00E225B4">
      <w:pPr>
        <w:pStyle w:val="ListParagraph"/>
        <w:numPr>
          <w:ilvl w:val="0"/>
          <w:numId w:val="47"/>
        </w:numPr>
      </w:pPr>
      <w:r>
        <w:t xml:space="preserve">advising mental health services about ways to treat people less restrictively in the community to better protect Aboriginal </w:t>
      </w:r>
      <w:r w:rsidR="00030197">
        <w:t>c</w:t>
      </w:r>
      <w:r>
        <w:t xml:space="preserve">ultural </w:t>
      </w:r>
      <w:r w:rsidR="00030197">
        <w:t>r</w:t>
      </w:r>
      <w:r>
        <w:t>ights</w:t>
      </w:r>
      <w:r w:rsidRPr="0091262D">
        <w:rPr>
          <w:rStyle w:val="FootnoteReference"/>
        </w:rPr>
        <w:footnoteReference w:id="177"/>
      </w:r>
      <w:r w:rsidR="00542A11">
        <w:t xml:space="preserve"> </w:t>
      </w:r>
    </w:p>
    <w:p w14:paraId="0767D69C" w14:textId="100B8C47" w:rsidR="00E560CC" w:rsidRDefault="004A1A0F" w:rsidP="00E225B4">
      <w:pPr>
        <w:pStyle w:val="ListParagraph"/>
        <w:numPr>
          <w:ilvl w:val="0"/>
          <w:numId w:val="47"/>
        </w:numPr>
      </w:pPr>
      <w:r>
        <w:t xml:space="preserve">ensuring that </w:t>
      </w:r>
      <w:r w:rsidR="002764C1">
        <w:t xml:space="preserve">the </w:t>
      </w:r>
      <w:r>
        <w:t>Mental Health Tribunal ha</w:t>
      </w:r>
      <w:r w:rsidR="002764C1">
        <w:t>s</w:t>
      </w:r>
      <w:r>
        <w:t xml:space="preserve"> sufficient capability to provide culturally</w:t>
      </w:r>
      <w:r w:rsidR="00E1268C">
        <w:t xml:space="preserve"> safe hearings</w:t>
      </w:r>
    </w:p>
    <w:p w14:paraId="2BA9A37B" w14:textId="7C89D401" w:rsidR="004A1A0F" w:rsidRDefault="004A1A0F" w:rsidP="00E225B4">
      <w:pPr>
        <w:pStyle w:val="ListParagraph"/>
        <w:numPr>
          <w:ilvl w:val="0"/>
          <w:numId w:val="47"/>
        </w:numPr>
      </w:pPr>
      <w:r>
        <w:t xml:space="preserve">staffing of </w:t>
      </w:r>
      <w:r w:rsidR="000713F7">
        <w:t xml:space="preserve">services and institutions like the </w:t>
      </w:r>
      <w:r>
        <w:t xml:space="preserve">Mental Health Tribunal </w:t>
      </w:r>
      <w:r w:rsidR="00E1268C">
        <w:t xml:space="preserve">to </w:t>
      </w:r>
      <w:r w:rsidR="000713F7">
        <w:t xml:space="preserve">effectively </w:t>
      </w:r>
      <w:r w:rsidR="00E1268C">
        <w:t>respond to the needs of Aboriginal Victorians</w:t>
      </w:r>
      <w:r w:rsidR="00E1268C" w:rsidRPr="0091262D">
        <w:rPr>
          <w:rStyle w:val="FootnoteReference"/>
        </w:rPr>
        <w:footnoteReference w:id="178"/>
      </w:r>
    </w:p>
    <w:p w14:paraId="033923FC" w14:textId="5BF89783" w:rsidR="00760CFC" w:rsidRPr="00542A11" w:rsidRDefault="00760CFC" w:rsidP="00E225B4">
      <w:pPr>
        <w:pStyle w:val="ListParagraph"/>
        <w:numPr>
          <w:ilvl w:val="0"/>
          <w:numId w:val="47"/>
        </w:numPr>
      </w:pPr>
      <w:r>
        <w:lastRenderedPageBreak/>
        <w:t>considering how to meet the mental health and wellbeing needs of Aboriginal Victorians while also supporting self-determination,</w:t>
      </w:r>
      <w:r w:rsidR="00B110E6" w:rsidRPr="0091262D">
        <w:rPr>
          <w:rStyle w:val="FootnoteReference"/>
        </w:rPr>
        <w:footnoteReference w:id="179"/>
      </w:r>
      <w:r>
        <w:t xml:space="preserve"> such as when to fund community-controlled services.</w:t>
      </w:r>
      <w:r w:rsidR="006C31EB" w:rsidRPr="0091262D">
        <w:rPr>
          <w:rStyle w:val="FootnoteReference"/>
        </w:rPr>
        <w:footnoteReference w:id="180"/>
      </w:r>
    </w:p>
    <w:p w14:paraId="1890A759" w14:textId="607D5A9D" w:rsidR="00563C73" w:rsidRPr="004609E0" w:rsidRDefault="00147508" w:rsidP="00F23F1C">
      <w:r>
        <w:t xml:space="preserve">It is important that Division staff are aware of the history </w:t>
      </w:r>
      <w:r w:rsidR="00FC2B06">
        <w:t xml:space="preserve">and present </w:t>
      </w:r>
      <w:r>
        <w:t>of racism and colonisation in</w:t>
      </w:r>
      <w:r w:rsidR="00FC2B06">
        <w:t xml:space="preserve"> Australian</w:t>
      </w:r>
      <w:r>
        <w:t xml:space="preserve"> mental health care</w:t>
      </w:r>
      <w:r w:rsidR="00FC2B06">
        <w:t>.</w:t>
      </w:r>
      <w:r w:rsidR="00A14209" w:rsidRPr="0091262D">
        <w:rPr>
          <w:rStyle w:val="FootnoteReference"/>
        </w:rPr>
        <w:footnoteReference w:id="181"/>
      </w:r>
      <w:r w:rsidR="00FC2B06">
        <w:t xml:space="preserve"> This </w:t>
      </w:r>
      <w:r w:rsidR="009E6B5B">
        <w:t xml:space="preserve">awareness </w:t>
      </w:r>
      <w:r w:rsidR="00FC2B06">
        <w:t xml:space="preserve">may enable </w:t>
      </w:r>
      <w:r w:rsidR="009E6B5B">
        <w:t>better policy that prevents and responds to these experiences.</w:t>
      </w:r>
      <w:r w:rsidR="00F23F1C" w:rsidRPr="004609E0">
        <w:t xml:space="preserve"> </w:t>
      </w:r>
    </w:p>
    <w:p w14:paraId="0DF4F381" w14:textId="77777777" w:rsidR="004D593E" w:rsidRDefault="00563C73" w:rsidP="00563C73">
      <w:pPr>
        <w:sectPr w:rsidR="004D593E" w:rsidSect="00271E88">
          <w:pgSz w:w="11906" w:h="16838"/>
          <w:pgMar w:top="1440" w:right="1418" w:bottom="1440" w:left="1418" w:header="708" w:footer="708" w:gutter="0"/>
          <w:cols w:space="708"/>
          <w:titlePg/>
          <w:docGrid w:linePitch="360"/>
        </w:sectPr>
      </w:pPr>
      <w:r>
        <w:t xml:space="preserve"> </w:t>
      </w:r>
    </w:p>
    <w:p w14:paraId="35B8DB76" w14:textId="42C42594" w:rsidR="009A041F" w:rsidRDefault="00E644B0" w:rsidP="009A041F">
      <w:pPr>
        <w:pStyle w:val="Heading1-report"/>
        <w:spacing w:before="0"/>
      </w:pPr>
      <w:r>
        <w:lastRenderedPageBreak/>
        <w:tab/>
      </w:r>
      <w:r w:rsidR="009A041F">
        <w:rPr>
          <w:noProof/>
        </w:rPr>
        <mc:AlternateContent>
          <mc:Choice Requires="wps">
            <w:drawing>
              <wp:anchor distT="0" distB="0" distL="114300" distR="114300" simplePos="0" relativeHeight="251658275" behindDoc="1" locked="0" layoutInCell="1" allowOverlap="1" wp14:anchorId="7FA3684B" wp14:editId="70C7B3B3">
                <wp:simplePos x="0" y="0"/>
                <wp:positionH relativeFrom="page">
                  <wp:align>left</wp:align>
                </wp:positionH>
                <wp:positionV relativeFrom="paragraph">
                  <wp:posOffset>-901811</wp:posOffset>
                </wp:positionV>
                <wp:extent cx="10693593" cy="7952874"/>
                <wp:effectExtent l="0" t="0" r="12700" b="10160"/>
                <wp:wrapNone/>
                <wp:docPr id="277" name="Rectangle 277"/>
                <wp:cNvGraphicFramePr/>
                <a:graphic xmlns:a="http://schemas.openxmlformats.org/drawingml/2006/main">
                  <a:graphicData uri="http://schemas.microsoft.com/office/word/2010/wordprocessingShape">
                    <wps:wsp>
                      <wps:cNvSpPr/>
                      <wps:spPr>
                        <a:xfrm>
                          <a:off x="0" y="0"/>
                          <a:ext cx="10693593" cy="7952874"/>
                        </a:xfrm>
                        <a:prstGeom prst="rect">
                          <a:avLst/>
                        </a:prstGeom>
                        <a:solidFill>
                          <a:srgbClr val="D0E8E9"/>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42974E" w14:textId="77777777" w:rsidR="009A041F" w:rsidRDefault="009A041F" w:rsidP="009A04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3684B" id="Rectangle 277" o:spid="_x0000_s1050" style="position:absolute;margin-left:0;margin-top:-71pt;width:842pt;height:626.2pt;z-index:-25165820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" fillcolor="#d0e8e9" strokecolor="#1b383a [1604]" strokeweight="1pt">
                <v:textbox>
                  <w:txbxContent>
                    <w:p w14:paraId="5F42974E" w14:textId="77777777" w:rsidR="009A041F" w:rsidRDefault="009A041F" w:rsidP="009A041F">
                      <w:pPr>
                        <w:jc w:val="center"/>
                      </w:pPr>
                    </w:p>
                  </w:txbxContent>
                </v:textbox>
                <w10:wrap anchorx="page"/>
              </v:rect>
            </w:pict>
          </mc:Fallback>
        </mc:AlternateContent>
      </w:r>
      <w:r w:rsidR="009A041F">
        <w:t xml:space="preserve">TAKE-HOMES: </w:t>
      </w:r>
      <w:r w:rsidR="00C33C88">
        <w:t>CULTURAL RIGHTS</w:t>
      </w:r>
    </w:p>
    <w:tbl>
      <w:tblPr>
        <w:tblStyle w:val="TableGridLight"/>
        <w:tblW w:w="15446" w:type="dxa"/>
        <w:tblCellMar>
          <w:bottom w:w="284" w:type="dxa"/>
        </w:tblCellMar>
        <w:tblLook w:val="04A0" w:firstRow="1" w:lastRow="0" w:firstColumn="1" w:lastColumn="0" w:noHBand="0" w:noVBand="1"/>
      </w:tblPr>
      <w:tblGrid>
        <w:gridCol w:w="1056"/>
        <w:gridCol w:w="6375"/>
        <w:gridCol w:w="1056"/>
        <w:gridCol w:w="6959"/>
      </w:tblGrid>
      <w:tr w:rsidR="009A041F" w14:paraId="0B7AF71C" w14:textId="77777777" w:rsidTr="6D69D0D5">
        <w:tc>
          <w:tcPr>
            <w:tcW w:w="1056" w:type="dxa"/>
          </w:tcPr>
          <w:p w14:paraId="0FC7FF82" w14:textId="77777777" w:rsidR="009A041F" w:rsidRDefault="009A041F" w:rsidP="004F4360">
            <w:r>
              <w:rPr>
                <w:noProof/>
              </w:rPr>
              <w:drawing>
                <wp:inline distT="0" distB="0" distL="0" distR="0" wp14:anchorId="7C1240EC" wp14:editId="6351941F">
                  <wp:extent cx="526774" cy="526774"/>
                  <wp:effectExtent l="0" t="0" r="6985" b="6985"/>
                  <wp:docPr id="278" name="Graphic 278"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6452" w:type="dxa"/>
          </w:tcPr>
          <w:p w14:paraId="06A1D634" w14:textId="3A216010" w:rsidR="009A041F" w:rsidRDefault="0081004D" w:rsidP="004F4360">
            <w:pPr>
              <w:pStyle w:val="Heading3-report"/>
            </w:pPr>
            <w:r>
              <w:t>Don’t be ‘neutral’</w:t>
            </w:r>
            <w:r w:rsidR="00FC1DBA">
              <w:t xml:space="preserve"> o</w:t>
            </w:r>
            <w:r w:rsidR="0042548C">
              <w:t>n</w:t>
            </w:r>
            <w:r w:rsidR="00FC1DBA">
              <w:t xml:space="preserve"> culture</w:t>
            </w:r>
          </w:p>
          <w:p w14:paraId="09A3304E" w14:textId="6AD95AEC" w:rsidR="009A041F" w:rsidRPr="006F6EC8" w:rsidRDefault="6D69D0D5" w:rsidP="004F4360">
            <w:r>
              <w:t>Assuming everyone has the same needs and preferences may mean that people from different cultural or religious groups are worse off. To build an inclusive mental health and wellbeing system, the Division will need to take proactive steps to ensure that all people can practice their culture equally. This should influence all parts of the system’s management and stewardship.</w:t>
            </w:r>
          </w:p>
        </w:tc>
        <w:tc>
          <w:tcPr>
            <w:tcW w:w="890" w:type="dxa"/>
          </w:tcPr>
          <w:p w14:paraId="5480E8A4" w14:textId="77777777" w:rsidR="009A041F" w:rsidRDefault="009A041F" w:rsidP="004F4360">
            <w:r>
              <w:rPr>
                <w:noProof/>
              </w:rPr>
              <w:drawing>
                <wp:inline distT="0" distB="0" distL="0" distR="0" wp14:anchorId="4BAC42CD" wp14:editId="2A8B8EA3">
                  <wp:extent cx="526774" cy="526774"/>
                  <wp:effectExtent l="0" t="0" r="6985" b="6985"/>
                  <wp:docPr id="279" name="Graphic 279"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7048" w:type="dxa"/>
          </w:tcPr>
          <w:p w14:paraId="7069C047" w14:textId="182C859A" w:rsidR="009A041F" w:rsidRDefault="00CE1992" w:rsidP="004F4360">
            <w:pPr>
              <w:pStyle w:val="Heading3-report"/>
            </w:pPr>
            <w:r>
              <w:t>Enable different</w:t>
            </w:r>
            <w:r w:rsidR="00A81999">
              <w:t xml:space="preserve"> services and</w:t>
            </w:r>
            <w:r>
              <w:t xml:space="preserve"> models of care</w:t>
            </w:r>
          </w:p>
          <w:p w14:paraId="240268CB" w14:textId="4E9718A8" w:rsidR="009A041F" w:rsidRPr="00861362" w:rsidRDefault="00CE1992" w:rsidP="004F4360">
            <w:r>
              <w:t>Different</w:t>
            </w:r>
            <w:r w:rsidR="00A81999">
              <w:t xml:space="preserve"> service offerings and models of care will enable better compliance with cultural r</w:t>
            </w:r>
            <w:r w:rsidR="00474A3A">
              <w:t>ights. For example, hospital in the home may enable</w:t>
            </w:r>
            <w:r w:rsidR="00216384">
              <w:t xml:space="preserve"> an Aboriginal person</w:t>
            </w:r>
            <w:r w:rsidR="00474A3A">
              <w:t xml:space="preserve"> to have care in their home, on country, and closer to their community.</w:t>
            </w:r>
            <w:r w:rsidR="00216384">
              <w:t xml:space="preserve"> Other models of care may enable anonymous forms of mental health support where stigma is stronger within some cultures.</w:t>
            </w:r>
          </w:p>
        </w:tc>
      </w:tr>
      <w:tr w:rsidR="009A041F" w14:paraId="1EDAEFC8" w14:textId="77777777" w:rsidTr="6D69D0D5">
        <w:tc>
          <w:tcPr>
            <w:tcW w:w="1056" w:type="dxa"/>
            <w:shd w:val="clear" w:color="auto" w:fill="auto"/>
          </w:tcPr>
          <w:p w14:paraId="0766ABF7" w14:textId="77777777" w:rsidR="009A041F" w:rsidRDefault="009A041F" w:rsidP="004F4360">
            <w:r>
              <w:rPr>
                <w:noProof/>
              </w:rPr>
              <w:drawing>
                <wp:inline distT="0" distB="0" distL="0" distR="0" wp14:anchorId="46EBC6BA" wp14:editId="5E339A4C">
                  <wp:extent cx="526774" cy="526774"/>
                  <wp:effectExtent l="0" t="0" r="6985" b="6985"/>
                  <wp:docPr id="280" name="Graphic 280"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6452" w:type="dxa"/>
          </w:tcPr>
          <w:p w14:paraId="45F0F2D6" w14:textId="2F8203E0" w:rsidR="009A041F" w:rsidRDefault="6D69D0D5" w:rsidP="00271054">
            <w:pPr>
              <w:pStyle w:val="Heading3-report"/>
            </w:pPr>
            <w:r>
              <w:t>Require cultural safety training for practitioners, managers and service designers</w:t>
            </w:r>
          </w:p>
          <w:p w14:paraId="0F65B2B4" w14:textId="7CE811F2" w:rsidR="00271054" w:rsidRPr="00271054" w:rsidRDefault="00271054" w:rsidP="00271054">
            <w:r>
              <w:t xml:space="preserve">In the absence of training and ongoing professional development, many staff members will not be able to provide culturally safe care. </w:t>
            </w:r>
            <w:r w:rsidR="006C6DDD">
              <w:t xml:space="preserve">Service designers or managers may not be able to set up services and policies that enable staff to provide this care, and they may not hire individuals with the appropriate experience and skills. </w:t>
            </w:r>
            <w:r w:rsidR="005E5863">
              <w:t>Build in requirements for cultural safety and other forms of training that allow people to continue exercising their cultural rights when accessing mental health services.</w:t>
            </w:r>
          </w:p>
        </w:tc>
        <w:tc>
          <w:tcPr>
            <w:tcW w:w="890" w:type="dxa"/>
          </w:tcPr>
          <w:p w14:paraId="4B855D76" w14:textId="39200FB6" w:rsidR="009A041F" w:rsidRDefault="008A1D91" w:rsidP="004F4360">
            <w:r>
              <w:rPr>
                <w:noProof/>
              </w:rPr>
              <w:drawing>
                <wp:inline distT="0" distB="0" distL="0" distR="0" wp14:anchorId="1E078A0B" wp14:editId="22478211">
                  <wp:extent cx="526774" cy="526774"/>
                  <wp:effectExtent l="0" t="0" r="6985" b="6985"/>
                  <wp:docPr id="282" name="Graphic 282"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7048" w:type="dxa"/>
          </w:tcPr>
          <w:p w14:paraId="565F48F0" w14:textId="7BEFC555" w:rsidR="009A041F" w:rsidRDefault="008A1D91" w:rsidP="004F4360">
            <w:pPr>
              <w:pStyle w:val="Heading3-report"/>
            </w:pPr>
            <w:r>
              <w:t xml:space="preserve">Provide </w:t>
            </w:r>
            <w:r w:rsidR="00CB38D1">
              <w:t>translated information</w:t>
            </w:r>
            <w:r w:rsidR="003B1939">
              <w:t xml:space="preserve"> and interpreters</w:t>
            </w:r>
          </w:p>
          <w:p w14:paraId="207E0D8F" w14:textId="0C896E6D" w:rsidR="009A041F" w:rsidRPr="00796694" w:rsidRDefault="6D69D0D5" w:rsidP="004F4360">
            <w:r>
              <w:t>It is important that people can make decisions about their assessment, treatment, care and support that accords with their culture. For many people, this will require translated information or the use of interpreters. Some of this translated information may be provided by the Division. The Division can also require services and oversight bodies to use interpreters.</w:t>
            </w:r>
          </w:p>
        </w:tc>
      </w:tr>
    </w:tbl>
    <w:p w14:paraId="092E55A3" w14:textId="502D9469" w:rsidR="004D593E" w:rsidRDefault="004D593E" w:rsidP="00563C73">
      <w:pPr>
        <w:sectPr w:rsidR="004D593E" w:rsidSect="00F9698C">
          <w:pgSz w:w="16838" w:h="11906" w:orient="landscape"/>
          <w:pgMar w:top="720" w:right="720" w:bottom="720" w:left="720" w:header="708" w:footer="708" w:gutter="0"/>
          <w:cols w:space="708"/>
          <w:titlePg/>
          <w:docGrid w:linePitch="360"/>
        </w:sectPr>
      </w:pPr>
    </w:p>
    <w:p w14:paraId="0FC9E590" w14:textId="544F99A4" w:rsidR="00F8627C" w:rsidRDefault="00C234E1" w:rsidP="00F8627C">
      <w:pPr>
        <w:pStyle w:val="Heading2-report"/>
        <w:rPr>
          <w:color w:val="FFFFFF" w:themeColor="background1"/>
          <w:sz w:val="72"/>
          <w:szCs w:val="72"/>
        </w:rPr>
      </w:pPr>
      <w:r w:rsidRPr="00D31476">
        <w:rPr>
          <w:noProof/>
          <w:color w:val="FFFFFF" w:themeColor="background1"/>
          <w:sz w:val="16"/>
          <w:szCs w:val="16"/>
        </w:rPr>
        <w:lastRenderedPageBreak/>
        <mc:AlternateContent>
          <mc:Choice Requires="wps">
            <w:drawing>
              <wp:anchor distT="0" distB="0" distL="114300" distR="114300" simplePos="0" relativeHeight="251658242" behindDoc="1" locked="0" layoutInCell="1" allowOverlap="1" wp14:anchorId="243DE35A" wp14:editId="31CA70C3">
                <wp:simplePos x="0" y="0"/>
                <wp:positionH relativeFrom="page">
                  <wp:posOffset>-90475</wp:posOffset>
                </wp:positionH>
                <wp:positionV relativeFrom="paragraph">
                  <wp:posOffset>-909955</wp:posOffset>
                </wp:positionV>
                <wp:extent cx="7677150" cy="10662249"/>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7677150" cy="10662249"/>
                        </a:xfrm>
                        <a:prstGeom prst="rect">
                          <a:avLst/>
                        </a:prstGeom>
                        <a:solidFill>
                          <a:srgbClr val="20154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4A1480E" id="Rectangle 23" o:spid="_x0000_s1026" style="position:absolute;margin-left:-7.1pt;margin-top:-71.65pt;width:604.5pt;height:839.5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" fillcolor="#201547" strokecolor="#1b383a [1604]" strokeweight="1pt">
                <w10:wrap anchorx="page"/>
              </v:rect>
            </w:pict>
          </mc:Fallback>
        </mc:AlternateContent>
      </w:r>
      <w:r w:rsidR="00F8627C">
        <w:rPr>
          <w:b w:val="0"/>
          <w:bCs w:val="0"/>
          <w:noProof/>
          <w:sz w:val="26"/>
          <w:szCs w:val="26"/>
        </w:rPr>
        <w:drawing>
          <wp:anchor distT="0" distB="0" distL="114300" distR="114300" simplePos="0" relativeHeight="251658252" behindDoc="0" locked="0" layoutInCell="1" allowOverlap="1" wp14:anchorId="411C4D9A" wp14:editId="115318BF">
            <wp:simplePos x="0" y="0"/>
            <wp:positionH relativeFrom="margin">
              <wp:posOffset>-189230</wp:posOffset>
            </wp:positionH>
            <wp:positionV relativeFrom="paragraph">
              <wp:posOffset>-435981</wp:posOffset>
            </wp:positionV>
            <wp:extent cx="914400" cy="914400"/>
            <wp:effectExtent l="0" t="0" r="0" b="0"/>
            <wp:wrapNone/>
            <wp:docPr id="60" name="Graphic 60"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Raised hand with solid fill"/>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914400" cy="914400"/>
                    </a:xfrm>
                    <a:prstGeom prst="rect">
                      <a:avLst/>
                    </a:prstGeom>
                  </pic:spPr>
                </pic:pic>
              </a:graphicData>
            </a:graphic>
          </wp:anchor>
        </w:drawing>
      </w:r>
      <w:r w:rsidR="00F8627C" w:rsidRPr="00D31476">
        <w:rPr>
          <w:color w:val="FFFFFF" w:themeColor="background1"/>
          <w:sz w:val="40"/>
          <w:szCs w:val="40"/>
        </w:rPr>
        <w:t xml:space="preserve"> </w:t>
      </w:r>
    </w:p>
    <w:p w14:paraId="4F787E2F" w14:textId="496C0521" w:rsidR="00F8627C" w:rsidRPr="000616E7" w:rsidRDefault="00F971C5" w:rsidP="00F8627C">
      <w:pPr>
        <w:pStyle w:val="Heading2-report"/>
        <w:rPr>
          <w:color w:val="FFFFFF" w:themeColor="background1"/>
          <w:sz w:val="72"/>
          <w:szCs w:val="72"/>
        </w:rPr>
      </w:pPr>
      <w:r>
        <w:rPr>
          <w:color w:val="FFFFFF" w:themeColor="background1"/>
          <w:sz w:val="72"/>
          <w:szCs w:val="72"/>
        </w:rPr>
        <w:t>ABORIGINAL CULTURAL RIGHTS</w:t>
      </w:r>
    </w:p>
    <w:p w14:paraId="5C8DA5BE" w14:textId="436FCB00" w:rsidR="00F8627C" w:rsidRDefault="00F971C5" w:rsidP="00F8627C">
      <w:pPr>
        <w:rPr>
          <w:b/>
          <w:bCs/>
          <w:color w:val="FFFFFF" w:themeColor="background1"/>
          <w:sz w:val="26"/>
          <w:szCs w:val="26"/>
        </w:rPr>
      </w:pPr>
      <w:r>
        <w:rPr>
          <w:b/>
          <w:bCs/>
          <w:color w:val="FFFFFF" w:themeColor="background1"/>
          <w:sz w:val="26"/>
          <w:szCs w:val="26"/>
        </w:rPr>
        <w:t>TAKING CULTURAL RIGHTS INTO ACCOUNT TO INFORM A COMMUNITY TREATMENT ORDER DECISION</w:t>
      </w:r>
    </w:p>
    <w:p w14:paraId="5C6DA383" w14:textId="667EDDE1" w:rsidR="00C36CE4" w:rsidRDefault="006A4E7E" w:rsidP="00C36CE4">
      <w:pPr>
        <w:pStyle w:val="Casestudytext"/>
        <w:ind w:left="0"/>
        <w:rPr>
          <w:rStyle w:val="Strong"/>
          <w:b w:val="0"/>
          <w:bCs w:val="0"/>
          <w:color w:val="FFFFFF" w:themeColor="background1"/>
          <w:sz w:val="26"/>
          <w:szCs w:val="26"/>
        </w:rPr>
      </w:pPr>
      <w:r>
        <w:rPr>
          <w:rStyle w:val="Strong"/>
          <w:b w:val="0"/>
          <w:bCs w:val="0"/>
          <w:color w:val="FFFFFF" w:themeColor="background1"/>
          <w:sz w:val="26"/>
          <w:szCs w:val="26"/>
        </w:rPr>
        <w:t>An Aboriginal woman</w:t>
      </w:r>
      <w:r w:rsidR="003E2B36">
        <w:rPr>
          <w:rStyle w:val="Strong"/>
          <w:b w:val="0"/>
          <w:bCs w:val="0"/>
          <w:color w:val="FFFFFF" w:themeColor="background1"/>
          <w:sz w:val="26"/>
          <w:szCs w:val="26"/>
        </w:rPr>
        <w:t xml:space="preserve"> in her early tw</w:t>
      </w:r>
      <w:r w:rsidR="00363843">
        <w:rPr>
          <w:rStyle w:val="Strong"/>
          <w:b w:val="0"/>
          <w:bCs w:val="0"/>
          <w:color w:val="FFFFFF" w:themeColor="background1"/>
          <w:sz w:val="26"/>
          <w:szCs w:val="26"/>
        </w:rPr>
        <w:t>enties</w:t>
      </w:r>
      <w:r>
        <w:rPr>
          <w:rStyle w:val="Strong"/>
          <w:b w:val="0"/>
          <w:bCs w:val="0"/>
          <w:color w:val="FFFFFF" w:themeColor="background1"/>
          <w:sz w:val="26"/>
          <w:szCs w:val="26"/>
        </w:rPr>
        <w:t xml:space="preserve">, </w:t>
      </w:r>
      <w:r w:rsidR="00CB0F10">
        <w:rPr>
          <w:rStyle w:val="Strong"/>
          <w:b w:val="0"/>
          <w:bCs w:val="0"/>
          <w:color w:val="FFFFFF" w:themeColor="background1"/>
          <w:sz w:val="26"/>
          <w:szCs w:val="26"/>
        </w:rPr>
        <w:t xml:space="preserve">known in the </w:t>
      </w:r>
      <w:r w:rsidR="00757A95">
        <w:rPr>
          <w:rStyle w:val="Strong"/>
          <w:b w:val="0"/>
          <w:bCs w:val="0"/>
          <w:color w:val="FFFFFF" w:themeColor="background1"/>
          <w:sz w:val="26"/>
          <w:szCs w:val="26"/>
        </w:rPr>
        <w:t xml:space="preserve">matter </w:t>
      </w:r>
      <w:r w:rsidR="00363843">
        <w:rPr>
          <w:rStyle w:val="Strong"/>
          <w:b w:val="0"/>
          <w:bCs w:val="0"/>
          <w:color w:val="FFFFFF" w:themeColor="background1"/>
          <w:sz w:val="26"/>
          <w:szCs w:val="26"/>
        </w:rPr>
        <w:t>before the Mental Health Tribunal</w:t>
      </w:r>
      <w:r w:rsidR="00CB0F10">
        <w:rPr>
          <w:rStyle w:val="Strong"/>
          <w:b w:val="0"/>
          <w:bCs w:val="0"/>
          <w:color w:val="FFFFFF" w:themeColor="background1"/>
          <w:sz w:val="26"/>
          <w:szCs w:val="26"/>
        </w:rPr>
        <w:t xml:space="preserve"> as </w:t>
      </w:r>
      <w:r>
        <w:rPr>
          <w:rStyle w:val="Strong"/>
          <w:b w:val="0"/>
          <w:bCs w:val="0"/>
          <w:color w:val="FFFFFF" w:themeColor="background1"/>
          <w:sz w:val="26"/>
          <w:szCs w:val="26"/>
        </w:rPr>
        <w:t>AQH,</w:t>
      </w:r>
      <w:r w:rsidR="001205B7">
        <w:rPr>
          <w:rStyle w:val="Strong"/>
          <w:b w:val="0"/>
          <w:bCs w:val="0"/>
          <w:color w:val="FFFFFF" w:themeColor="background1"/>
          <w:sz w:val="26"/>
          <w:szCs w:val="26"/>
        </w:rPr>
        <w:t>*</w:t>
      </w:r>
      <w:r>
        <w:rPr>
          <w:rStyle w:val="Strong"/>
          <w:b w:val="0"/>
          <w:bCs w:val="0"/>
          <w:color w:val="FFFFFF" w:themeColor="background1"/>
          <w:sz w:val="26"/>
          <w:szCs w:val="26"/>
        </w:rPr>
        <w:t xml:space="preserve"> was subject to compulsory mental health treatment in hospital. She had a strong connection with her Aboriginal identity and wanted to return home to receive treatment through her GP and with a community psychiatric service that had a good understanding of Aboriginal culture</w:t>
      </w:r>
      <w:r w:rsidR="004F3F4F">
        <w:rPr>
          <w:rStyle w:val="Strong"/>
          <w:b w:val="0"/>
          <w:bCs w:val="0"/>
          <w:color w:val="FFFFFF" w:themeColor="background1"/>
          <w:sz w:val="26"/>
          <w:szCs w:val="26"/>
        </w:rPr>
        <w:t>.</w:t>
      </w:r>
    </w:p>
    <w:p w14:paraId="5AE4CC8B" w14:textId="3C624BC6" w:rsidR="004F3F4F" w:rsidRDefault="00783C63" w:rsidP="00C36CE4">
      <w:pPr>
        <w:pStyle w:val="Casestudytext"/>
        <w:ind w:left="0"/>
        <w:rPr>
          <w:rStyle w:val="Strong"/>
          <w:b w:val="0"/>
          <w:bCs w:val="0"/>
          <w:color w:val="FFFFFF" w:themeColor="background1"/>
          <w:sz w:val="26"/>
          <w:szCs w:val="26"/>
        </w:rPr>
      </w:pPr>
      <w:r>
        <w:rPr>
          <w:rStyle w:val="Strong"/>
          <w:b w:val="0"/>
          <w:bCs w:val="0"/>
          <w:color w:val="FFFFFF" w:themeColor="background1"/>
          <w:sz w:val="26"/>
          <w:szCs w:val="26"/>
        </w:rPr>
        <w:t xml:space="preserve">AQH’s consultant psychiatrist was firmly of the view that AQH needed to remain in hospital. </w:t>
      </w:r>
      <w:r w:rsidR="004F3F4F">
        <w:rPr>
          <w:rStyle w:val="Strong"/>
          <w:b w:val="0"/>
          <w:bCs w:val="0"/>
          <w:color w:val="FFFFFF" w:themeColor="background1"/>
          <w:sz w:val="26"/>
          <w:szCs w:val="26"/>
        </w:rPr>
        <w:t xml:space="preserve">The Mental Health Tribunal made an order for compulsory treatment. </w:t>
      </w:r>
      <w:r>
        <w:rPr>
          <w:rStyle w:val="Strong"/>
          <w:b w:val="0"/>
          <w:bCs w:val="0"/>
          <w:color w:val="FFFFFF" w:themeColor="background1"/>
          <w:sz w:val="26"/>
          <w:szCs w:val="26"/>
        </w:rPr>
        <w:t>However, it</w:t>
      </w:r>
      <w:r w:rsidR="004F3F4F">
        <w:rPr>
          <w:rStyle w:val="Strong"/>
          <w:b w:val="0"/>
          <w:bCs w:val="0"/>
          <w:color w:val="FFFFFF" w:themeColor="background1"/>
          <w:sz w:val="26"/>
          <w:szCs w:val="26"/>
        </w:rPr>
        <w:t xml:space="preserve"> considered AQH’s Aboriginal cultural rights under the Charter and decided that a community, rather than an inpatient treatment order, was less restrictive of her human rights and was appropriate in the circumstances.</w:t>
      </w:r>
    </w:p>
    <w:p w14:paraId="60331177" w14:textId="79A85CBD" w:rsidR="004F3F4F" w:rsidRDefault="004F3F4F" w:rsidP="00C36CE4">
      <w:pPr>
        <w:pStyle w:val="Casestudytext"/>
        <w:ind w:left="0"/>
        <w:rPr>
          <w:rStyle w:val="Strong"/>
          <w:b w:val="0"/>
          <w:bCs w:val="0"/>
          <w:color w:val="FFFFFF" w:themeColor="background1"/>
          <w:sz w:val="26"/>
          <w:szCs w:val="26"/>
        </w:rPr>
      </w:pPr>
      <w:r>
        <w:rPr>
          <w:rStyle w:val="Strong"/>
          <w:b w:val="0"/>
          <w:bCs w:val="0"/>
          <w:color w:val="FFFFFF" w:themeColor="background1"/>
          <w:sz w:val="26"/>
          <w:szCs w:val="26"/>
        </w:rPr>
        <w:t xml:space="preserve">The Tribunal acknowledged that discharge from hospital may risk </w:t>
      </w:r>
      <w:r w:rsidR="00674A54">
        <w:rPr>
          <w:rStyle w:val="Strong"/>
          <w:b w:val="0"/>
          <w:bCs w:val="0"/>
          <w:color w:val="FFFFFF" w:themeColor="background1"/>
          <w:sz w:val="26"/>
          <w:szCs w:val="26"/>
        </w:rPr>
        <w:t>some deterioration in</w:t>
      </w:r>
      <w:r>
        <w:rPr>
          <w:rStyle w:val="Strong"/>
          <w:b w:val="0"/>
          <w:bCs w:val="0"/>
          <w:color w:val="FFFFFF" w:themeColor="background1"/>
          <w:sz w:val="26"/>
          <w:szCs w:val="26"/>
        </w:rPr>
        <w:t xml:space="preserve"> AQH’s mental health, but it decided that the risks were not sufficiently serious or imminent to justify the restriction that would be imposed by an inpatient treatment order. The Tribunal had regard to the high rate of Aboriginal imprisonment, AQH’s preferences for treatment in the community and it decided that community treatment was also consistent with the ‘dignity of risk’ principle in the Mental Health Act.</w:t>
      </w:r>
    </w:p>
    <w:p w14:paraId="128C9BDB" w14:textId="314FCB2E" w:rsidR="00714C17" w:rsidRPr="00C36CE4" w:rsidRDefault="00C36CE4" w:rsidP="009C746C">
      <w:pPr>
        <w:pStyle w:val="Heading1-report"/>
        <w:rPr>
          <w:b w:val="0"/>
          <w:sz w:val="36"/>
          <w:szCs w:val="36"/>
        </w:rPr>
      </w:pPr>
      <w:r w:rsidRPr="00C36CE4">
        <w:rPr>
          <w:b w:val="0"/>
          <w:bCs w:val="0"/>
          <w:i/>
          <w:iCs/>
          <w:color w:val="FFFFFF" w:themeColor="background1"/>
          <w:sz w:val="24"/>
          <w:szCs w:val="24"/>
        </w:rPr>
        <w:t xml:space="preserve">* </w:t>
      </w:r>
      <w:r w:rsidR="006A4E7E">
        <w:rPr>
          <w:b w:val="0"/>
          <w:bCs w:val="0"/>
          <w:i/>
          <w:iCs/>
          <w:color w:val="FFFFFF" w:themeColor="background1"/>
          <w:sz w:val="24"/>
          <w:szCs w:val="24"/>
        </w:rPr>
        <w:t>AQH</w:t>
      </w:r>
      <w:r w:rsidR="00517E48">
        <w:rPr>
          <w:b w:val="0"/>
          <w:bCs w:val="0"/>
          <w:color w:val="FFFFFF" w:themeColor="background1"/>
          <w:sz w:val="24"/>
          <w:szCs w:val="24"/>
        </w:rPr>
        <w:t xml:space="preserve"> [2017] VMHT 24 (5 April 2017)</w:t>
      </w:r>
      <w:r w:rsidR="00714C17" w:rsidRPr="00C36CE4">
        <w:rPr>
          <w:b w:val="0"/>
          <w:bCs w:val="0"/>
        </w:rPr>
        <w:br w:type="page"/>
      </w:r>
    </w:p>
    <w:p w14:paraId="12ADB2F8" w14:textId="77777777" w:rsidR="00674481" w:rsidRDefault="00674481" w:rsidP="00674481">
      <w:pPr>
        <w:pStyle w:val="Heading1-report"/>
        <w:ind w:left="720" w:firstLine="720"/>
        <w:rPr>
          <w:noProof/>
        </w:rPr>
      </w:pPr>
    </w:p>
    <w:p w14:paraId="04A81FFC" w14:textId="6E962F9E" w:rsidR="00A9204B" w:rsidRDefault="003926D7" w:rsidP="00674481">
      <w:pPr>
        <w:pStyle w:val="Heading1-report"/>
        <w:spacing w:before="0"/>
        <w:ind w:left="720" w:firstLine="720"/>
      </w:pPr>
      <w:r>
        <w:rPr>
          <w:noProof/>
        </w:rPr>
        <w:drawing>
          <wp:anchor distT="0" distB="0" distL="114300" distR="114300" simplePos="0" relativeHeight="251658282" behindDoc="0" locked="0" layoutInCell="1" allowOverlap="1" wp14:anchorId="0E5444CF" wp14:editId="6797E186">
            <wp:simplePos x="0" y="0"/>
            <wp:positionH relativeFrom="margin">
              <wp:posOffset>-1661</wp:posOffset>
            </wp:positionH>
            <wp:positionV relativeFrom="paragraph">
              <wp:posOffset>35168</wp:posOffset>
            </wp:positionV>
            <wp:extent cx="636270" cy="605009"/>
            <wp:effectExtent l="0" t="0" r="0" b="5080"/>
            <wp:wrapNone/>
            <wp:docPr id="220" name="Picture 220"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220" descr="House"/>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t="4913" b="1"/>
                    <a:stretch/>
                  </pic:blipFill>
                  <pic:spPr bwMode="auto">
                    <a:xfrm>
                      <a:off x="0" y="0"/>
                      <a:ext cx="636814" cy="6055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204B">
        <w:t>Property rights (section 20)</w:t>
      </w:r>
    </w:p>
    <w:p w14:paraId="073F08D6" w14:textId="2C69923E" w:rsidR="00354F77" w:rsidRDefault="006619C1" w:rsidP="006619C1">
      <w:r>
        <w:rPr>
          <w:noProof/>
        </w:rPr>
        <mc:AlternateContent>
          <mc:Choice Requires="wps">
            <w:drawing>
              <wp:anchor distT="45720" distB="45720" distL="114300" distR="114300" simplePos="0" relativeHeight="251658300" behindDoc="0" locked="0" layoutInCell="1" allowOverlap="1" wp14:anchorId="739F172F" wp14:editId="07386AED">
                <wp:simplePos x="0" y="0"/>
                <wp:positionH relativeFrom="margin">
                  <wp:align>right</wp:align>
                </wp:positionH>
                <wp:positionV relativeFrom="paragraph">
                  <wp:posOffset>484505</wp:posOffset>
                </wp:positionV>
                <wp:extent cx="5744845" cy="1404620"/>
                <wp:effectExtent l="0" t="0" r="27305" b="28575"/>
                <wp:wrapSquare wrapText="bothSides"/>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1404620"/>
                        </a:xfrm>
                        <a:prstGeom prst="rect">
                          <a:avLst/>
                        </a:prstGeom>
                        <a:solidFill>
                          <a:srgbClr val="201547"/>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1DF2F2D6" w14:textId="77777777" w:rsidR="006619C1" w:rsidRPr="006619C1" w:rsidRDefault="006619C1" w:rsidP="006619C1">
                            <w:pPr>
                              <w:pStyle w:val="Heading3-report"/>
                              <w:rPr>
                                <w:color w:val="FFFFFF" w:themeColor="background1"/>
                              </w:rPr>
                            </w:pPr>
                            <w:r w:rsidRPr="006619C1">
                              <w:rPr>
                                <w:color w:val="FFFFFF" w:themeColor="background1"/>
                              </w:rPr>
                              <w:t>Section 20 Property rights</w:t>
                            </w:r>
                          </w:p>
                          <w:p w14:paraId="08C1CB06" w14:textId="0C5ACAB8" w:rsidR="006619C1" w:rsidRPr="006619C1" w:rsidRDefault="006619C1" w:rsidP="006619C1">
                            <w:pPr>
                              <w:rPr>
                                <w:color w:val="FFFFFF" w:themeColor="background1"/>
                              </w:rPr>
                            </w:pPr>
                            <w:r w:rsidRPr="006619C1">
                              <w:rPr>
                                <w:color w:val="FFFFFF" w:themeColor="background1"/>
                              </w:rPr>
                              <w:t>A person must not be deprived of that person's property other than in accordance with law.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9F172F" id="Text Box 260" o:spid="_x0000_s1051" type="#_x0000_t202" style="position:absolute;margin-left:401.15pt;margin-top:38.15pt;width:452.35pt;height:110.6pt;z-index:2516583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" fillcolor="#201547" strokecolor="#1b383a [1604]" strokeweight="1pt">
                <v:textbox style="mso-fit-shape-to-text:t">
                  <w:txbxContent>
                    <w:p w14:paraId="1DF2F2D6" w14:textId="77777777" w:rsidR="006619C1" w:rsidRPr="006619C1" w:rsidRDefault="006619C1" w:rsidP="006619C1">
                      <w:pPr>
                        <w:pStyle w:val="Heading3-report"/>
                        <w:rPr>
                          <w:color w:val="FFFFFF" w:themeColor="background1"/>
                        </w:rPr>
                      </w:pPr>
                      <w:r w:rsidRPr="006619C1">
                        <w:rPr>
                          <w:color w:val="FFFFFF" w:themeColor="background1"/>
                        </w:rPr>
                        <w:t>Section 20 Property rights</w:t>
                      </w:r>
                    </w:p>
                    <w:p w14:paraId="08C1CB06" w14:textId="0C5ACAB8" w:rsidR="006619C1" w:rsidRPr="006619C1" w:rsidRDefault="006619C1" w:rsidP="006619C1">
                      <w:pPr>
                        <w:rPr>
                          <w:color w:val="FFFFFF" w:themeColor="background1"/>
                        </w:rPr>
                      </w:pPr>
                      <w:r w:rsidRPr="006619C1">
                        <w:rPr>
                          <w:color w:val="FFFFFF" w:themeColor="background1"/>
                        </w:rPr>
                        <w:t>A person must not be deprived of that person's property other than in accordance with law.</w:t>
                      </w:r>
                    </w:p>
                  </w:txbxContent>
                </v:textbox>
                <w10:wrap type="square" anchorx="margin"/>
              </v:shape>
            </w:pict>
          </mc:Fallback>
        </mc:AlternateContent>
      </w:r>
    </w:p>
    <w:p w14:paraId="4621025D" w14:textId="0C3E3305" w:rsidR="00307BE5" w:rsidRDefault="00307BE5" w:rsidP="00C51469">
      <w:pPr>
        <w:pStyle w:val="BoldedRightsIntro"/>
      </w:pPr>
      <w:r>
        <w:t>Property rights are important for safety, social and cultural connection and economic participation.</w:t>
      </w:r>
      <w:r w:rsidR="009E6B5B">
        <w:t xml:space="preserve"> In many cases people with lived experience have been denied this right.</w:t>
      </w:r>
    </w:p>
    <w:p w14:paraId="208A25A0" w14:textId="77777777" w:rsidR="009E6B5B" w:rsidRDefault="00307BE5" w:rsidP="00307BE5">
      <w:pPr>
        <w:spacing w:before="120"/>
      </w:pPr>
      <w:r>
        <w:t xml:space="preserve">Under section 20 of the Charter a person cannot be deprived of their property except where such a deprivation is allowed by the law. </w:t>
      </w:r>
    </w:p>
    <w:p w14:paraId="7BDF7C1E" w14:textId="75AC4270" w:rsidR="009E6B5B" w:rsidRDefault="009E6B5B" w:rsidP="009E6B5B">
      <w:pPr>
        <w:pStyle w:val="Heading2-report"/>
      </w:pPr>
      <w:r>
        <w:t>Defining terms in this right</w:t>
      </w:r>
    </w:p>
    <w:p w14:paraId="58CCF1CC" w14:textId="78530F1A" w:rsidR="00307BE5" w:rsidRDefault="00307BE5" w:rsidP="00307BE5">
      <w:pPr>
        <w:spacing w:before="120"/>
      </w:pPr>
      <w:r>
        <w:t>The right covers real property such as land and personal possessions, and other forms of property that people can own such as shares, licences, leases and patents.</w:t>
      </w:r>
      <w:r w:rsidRPr="0091262D">
        <w:rPr>
          <w:rStyle w:val="FootnoteReference"/>
        </w:rPr>
        <w:footnoteReference w:id="182"/>
      </w:r>
      <w:r w:rsidR="009E6B5B">
        <w:t xml:space="preserve"> </w:t>
      </w:r>
      <w:r>
        <w:t>A ‘deprivation’ of property has been taken to include not only the complete removal of a person’s property but also any substantial restriction of the person’s ability to use, enjoy, dispose of or transfer their property.</w:t>
      </w:r>
      <w:r w:rsidRPr="0091262D">
        <w:rPr>
          <w:rStyle w:val="FootnoteReference"/>
        </w:rPr>
        <w:footnoteReference w:id="183"/>
      </w:r>
    </w:p>
    <w:p w14:paraId="75C4E5F1" w14:textId="24161BD9" w:rsidR="009E6B5B" w:rsidRDefault="009E6B5B" w:rsidP="009E6B5B">
      <w:pPr>
        <w:pStyle w:val="Heading2-report"/>
      </w:pPr>
      <w:r>
        <w:t>Where this may be relevant to your work</w:t>
      </w:r>
    </w:p>
    <w:p w14:paraId="49650A55" w14:textId="77777777" w:rsidR="00307BE5" w:rsidRDefault="00307BE5" w:rsidP="00307BE5">
      <w:pPr>
        <w:spacing w:before="120"/>
      </w:pPr>
      <w:r>
        <w:t>Property rights are most likely to be engaged in the mental health and wellbeing system if a service removes a person’s personal possessions or limits access to them. As the case example below illustrates, property rights are also relevant if guardianship arrangements are put in place to control the transfer or disposition of land and personal property.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E8E9" w:themeFill="accent1" w:themeFillTint="33"/>
        <w:tblLook w:val="04A0" w:firstRow="1" w:lastRow="0" w:firstColumn="1" w:lastColumn="0" w:noHBand="0" w:noVBand="1"/>
      </w:tblPr>
      <w:tblGrid>
        <w:gridCol w:w="9060"/>
      </w:tblGrid>
      <w:tr w:rsidR="00307BE5" w14:paraId="0D907FB2" w14:textId="77777777" w:rsidTr="6D69D0D5">
        <w:tc>
          <w:tcPr>
            <w:tcW w:w="9060" w:type="dxa"/>
            <w:tcBorders>
              <w:top w:val="thickThinSmallGap" w:sz="24" w:space="0" w:color="201547"/>
              <w:bottom w:val="thickThinSmallGap" w:sz="24" w:space="0" w:color="201547"/>
            </w:tcBorders>
            <w:shd w:val="clear" w:color="auto" w:fill="F2F2F2" w:themeFill="background1" w:themeFillShade="F2"/>
          </w:tcPr>
          <w:p w14:paraId="444A35F2" w14:textId="77777777" w:rsidR="00307BE5" w:rsidRDefault="00307BE5">
            <w:pPr>
              <w:rPr>
                <w:b/>
                <w:bCs/>
                <w:sz w:val="28"/>
                <w:szCs w:val="24"/>
              </w:rPr>
            </w:pPr>
            <w:r>
              <w:rPr>
                <w:b/>
                <w:bCs/>
                <w:sz w:val="28"/>
                <w:szCs w:val="24"/>
              </w:rPr>
              <w:t>Case example: No justification to appoint an administrator</w:t>
            </w:r>
          </w:p>
          <w:p w14:paraId="6E04614C" w14:textId="68D0E0F7" w:rsidR="00307BE5" w:rsidRDefault="00307BE5">
            <w:r w:rsidRPr="6D69D0D5">
              <w:rPr>
                <w:i/>
                <w:iCs/>
              </w:rPr>
              <w:t xml:space="preserve">PJB v Melbourne Health (Patrick’s Case) </w:t>
            </w:r>
            <w:r>
              <w:t>concerned a 58-year-old man diagnosed with a mental illness. He had been an involuntary patient in a hospital for over ten years. He owned a house and wanted to live independently in the community. The hospital recommended that Patrick move into supported accommodation and through that ‘the move would be more likely to succeed if Patrick did not continue to own his home’.</w:t>
            </w:r>
            <w:r w:rsidRPr="0091262D">
              <w:rPr>
                <w:rStyle w:val="FootnoteReference"/>
              </w:rPr>
              <w:footnoteReference w:id="184"/>
            </w:r>
            <w:r>
              <w:t xml:space="preserve"> They applied to the </w:t>
            </w:r>
            <w:r w:rsidR="00D9589E">
              <w:t>Victorian Civil and Administrative Tribunal (</w:t>
            </w:r>
            <w:r>
              <w:t>VCAT</w:t>
            </w:r>
            <w:r w:rsidR="00D9589E">
              <w:t>)</w:t>
            </w:r>
            <w:r>
              <w:t xml:space="preserve"> for an administrator to be appointed over his estate who could sell his house. VCAT appointed the administrator, but that decision was overturned by the Supreme Court of Victoria. The </w:t>
            </w:r>
            <w:r>
              <w:lastRenderedPageBreak/>
              <w:t>Court found that the appointment of the administrator was a ‘de facto deprivation of property’ and engaged the property rights in section 20 of the Charter.</w:t>
            </w:r>
            <w:r w:rsidRPr="0091262D">
              <w:rPr>
                <w:rStyle w:val="FootnoteReference"/>
              </w:rPr>
              <w:footnoteReference w:id="185"/>
            </w:r>
            <w:r>
              <w:t xml:space="preserve"> Whether the deprivation was in accordance with the law was a key question in the case. In his judgement, Justice Bell stated that:</w:t>
            </w:r>
          </w:p>
          <w:p w14:paraId="39159F64" w14:textId="77777777" w:rsidR="00307BE5" w:rsidRPr="00CA04DB" w:rsidRDefault="00307BE5" w:rsidP="002D558A">
            <w:pPr>
              <w:spacing w:before="120" w:after="120"/>
              <w:ind w:left="720"/>
              <w:rPr>
                <w:sz w:val="22"/>
                <w:szCs w:val="20"/>
              </w:rPr>
            </w:pPr>
            <w:r>
              <w:rPr>
                <w:sz w:val="22"/>
              </w:rPr>
              <w:t>The rights which are at stake are very important to Patrick, for they protect his interest in being able to choose where to live and to live in the home which he owns. He holds those rights, and they deserve protection and respect, on equal terms with everybody else even though he is an involuntary patient in a mental hospital. The appointment infringes his human rights very seriously, as the administrator will take complete management and control of his money and other property, and probably sell his home. No sufficient purpose has been shown to justify such a serious infringement of his human rights, as he is not in a crisis (or anything like it) in terms of his health, accommodation or otherwise. He has not been found to be mismanaging his money or his home. … [A]ppointing an unlimited administrator was virtually the most rather than the least restrictive option which was reasonable available.</w:t>
            </w:r>
            <w:r w:rsidRPr="0091262D">
              <w:rPr>
                <w:rStyle w:val="FootnoteReference"/>
              </w:rPr>
              <w:footnoteReference w:id="186"/>
            </w:r>
          </w:p>
        </w:tc>
      </w:tr>
    </w:tbl>
    <w:p w14:paraId="7B7F8443" w14:textId="41403F62" w:rsidR="00307BE5" w:rsidRDefault="00F971C5" w:rsidP="00307BE5">
      <w:pPr>
        <w:spacing w:before="120"/>
      </w:pPr>
      <w:r>
        <w:lastRenderedPageBreak/>
        <w:t xml:space="preserve">In addition to </w:t>
      </w:r>
      <w:r w:rsidR="008C2C4D">
        <w:t>this, some compulsory payments such as</w:t>
      </w:r>
      <w:r w:rsidR="00D515B0">
        <w:t xml:space="preserve"> fees for time spent in</w:t>
      </w:r>
      <w:r w:rsidR="008C2C4D">
        <w:t xml:space="preserve"> Secure Extended Care Units</w:t>
      </w:r>
      <w:r w:rsidR="00D515B0">
        <w:t xml:space="preserve"> may engage this right, particularly if the person is there compulsorily.</w:t>
      </w:r>
      <w:r w:rsidR="00E33440" w:rsidRPr="0091262D">
        <w:rPr>
          <w:rStyle w:val="FootnoteReference"/>
        </w:rPr>
        <w:footnoteReference w:id="187"/>
      </w:r>
    </w:p>
    <w:p w14:paraId="37255E03" w14:textId="77777777" w:rsidR="00307BE5" w:rsidRPr="00A9204B" w:rsidRDefault="00307BE5" w:rsidP="00A9204B"/>
    <w:p w14:paraId="469BF4DE" w14:textId="77777777" w:rsidR="008545C5" w:rsidRDefault="008545C5" w:rsidP="00F035A2">
      <w:pPr>
        <w:ind w:left="360" w:right="284"/>
        <w:sectPr w:rsidR="008545C5" w:rsidSect="00271E88">
          <w:pgSz w:w="11906" w:h="16838"/>
          <w:pgMar w:top="1440" w:right="1418" w:bottom="1440" w:left="1418" w:header="708" w:footer="708" w:gutter="0"/>
          <w:cols w:space="708"/>
          <w:titlePg/>
          <w:docGrid w:linePitch="360"/>
        </w:sectPr>
      </w:pPr>
    </w:p>
    <w:p w14:paraId="2B1C57B2" w14:textId="1425B529" w:rsidR="008545C5" w:rsidRDefault="008545C5" w:rsidP="008545C5">
      <w:pPr>
        <w:pStyle w:val="Heading1-report"/>
        <w:spacing w:before="0"/>
      </w:pPr>
      <w:r>
        <w:lastRenderedPageBreak/>
        <w:tab/>
      </w:r>
      <w:r>
        <w:rPr>
          <w:noProof/>
        </w:rPr>
        <mc:AlternateContent>
          <mc:Choice Requires="wps">
            <w:drawing>
              <wp:anchor distT="0" distB="0" distL="114300" distR="114300" simplePos="0" relativeHeight="251658276" behindDoc="1" locked="0" layoutInCell="1" allowOverlap="1" wp14:anchorId="1A2B3E5B" wp14:editId="3845BCA2">
                <wp:simplePos x="0" y="0"/>
                <wp:positionH relativeFrom="page">
                  <wp:align>left</wp:align>
                </wp:positionH>
                <wp:positionV relativeFrom="paragraph">
                  <wp:posOffset>-901811</wp:posOffset>
                </wp:positionV>
                <wp:extent cx="10693593" cy="7952874"/>
                <wp:effectExtent l="0" t="0" r="12700" b="10160"/>
                <wp:wrapNone/>
                <wp:docPr id="283" name="Rectangle 283"/>
                <wp:cNvGraphicFramePr/>
                <a:graphic xmlns:a="http://schemas.openxmlformats.org/drawingml/2006/main">
                  <a:graphicData uri="http://schemas.microsoft.com/office/word/2010/wordprocessingShape">
                    <wps:wsp>
                      <wps:cNvSpPr/>
                      <wps:spPr>
                        <a:xfrm>
                          <a:off x="0" y="0"/>
                          <a:ext cx="10693593" cy="7952874"/>
                        </a:xfrm>
                        <a:prstGeom prst="rect">
                          <a:avLst/>
                        </a:prstGeom>
                        <a:solidFill>
                          <a:srgbClr val="D0E8E9"/>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839707" w14:textId="77777777" w:rsidR="008545C5" w:rsidRDefault="008545C5" w:rsidP="008545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B3E5B" id="Rectangle 283" o:spid="_x0000_s1052" style="position:absolute;margin-left:0;margin-top:-71pt;width:842pt;height:626.2pt;z-index:-2516582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" fillcolor="#d0e8e9" strokecolor="#1b383a [1604]" strokeweight="1pt">
                <v:textbox>
                  <w:txbxContent>
                    <w:p w14:paraId="2A839707" w14:textId="77777777" w:rsidR="008545C5" w:rsidRDefault="008545C5" w:rsidP="008545C5">
                      <w:pPr>
                        <w:jc w:val="center"/>
                      </w:pPr>
                    </w:p>
                  </w:txbxContent>
                </v:textbox>
                <w10:wrap anchorx="page"/>
              </v:rect>
            </w:pict>
          </mc:Fallback>
        </mc:AlternateContent>
      </w:r>
      <w:r>
        <w:t xml:space="preserve">TAKE-HOMES: </w:t>
      </w:r>
      <w:r w:rsidR="00ED50FF">
        <w:t>PROPERTY RIGHTS</w:t>
      </w:r>
    </w:p>
    <w:tbl>
      <w:tblPr>
        <w:tblStyle w:val="TableGridLight"/>
        <w:tblW w:w="15446" w:type="dxa"/>
        <w:tblCellMar>
          <w:bottom w:w="284" w:type="dxa"/>
        </w:tblCellMar>
        <w:tblLook w:val="04A0" w:firstRow="1" w:lastRow="0" w:firstColumn="1" w:lastColumn="0" w:noHBand="0" w:noVBand="1"/>
      </w:tblPr>
      <w:tblGrid>
        <w:gridCol w:w="1056"/>
        <w:gridCol w:w="6373"/>
        <w:gridCol w:w="1056"/>
        <w:gridCol w:w="6961"/>
      </w:tblGrid>
      <w:tr w:rsidR="008545C5" w14:paraId="40788141" w14:textId="77777777" w:rsidTr="6D69D0D5">
        <w:tc>
          <w:tcPr>
            <w:tcW w:w="1056" w:type="dxa"/>
          </w:tcPr>
          <w:p w14:paraId="795D155D" w14:textId="77777777" w:rsidR="008545C5" w:rsidRDefault="008545C5" w:rsidP="004F4360">
            <w:r>
              <w:rPr>
                <w:noProof/>
              </w:rPr>
              <w:drawing>
                <wp:inline distT="0" distB="0" distL="0" distR="0" wp14:anchorId="1A01C4FC" wp14:editId="50EEABFF">
                  <wp:extent cx="526774" cy="526774"/>
                  <wp:effectExtent l="0" t="0" r="6985" b="6985"/>
                  <wp:docPr id="284" name="Graphic 284"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6373" w:type="dxa"/>
          </w:tcPr>
          <w:p w14:paraId="0309787D" w14:textId="2AB5C0EB" w:rsidR="008545C5" w:rsidRDefault="005F113D" w:rsidP="004F4360">
            <w:pPr>
              <w:pStyle w:val="Heading3-report"/>
            </w:pPr>
            <w:r>
              <w:t>Make policies on property clear</w:t>
            </w:r>
          </w:p>
          <w:p w14:paraId="1D6015E0" w14:textId="69A46E64" w:rsidR="008545C5" w:rsidRPr="006F6EC8" w:rsidRDefault="005F113D" w:rsidP="004F4360">
            <w:r>
              <w:t xml:space="preserve">The removal of property occurs regularly within mental health inpatient units. </w:t>
            </w:r>
            <w:r w:rsidR="00B53644">
              <w:t>There should be greater guidance provided to mental health services about if and how property can be handled in a way compliant with this right.</w:t>
            </w:r>
            <w:r w:rsidR="000F65B2">
              <w:t xml:space="preserve"> This should include compulsory fees, such as those in some Secure Extended Care Units.</w:t>
            </w:r>
          </w:p>
        </w:tc>
        <w:tc>
          <w:tcPr>
            <w:tcW w:w="1056" w:type="dxa"/>
          </w:tcPr>
          <w:p w14:paraId="0A33EA47" w14:textId="54B56EB6" w:rsidR="008545C5" w:rsidRDefault="008545C5" w:rsidP="004F4360"/>
        </w:tc>
        <w:tc>
          <w:tcPr>
            <w:tcW w:w="6961" w:type="dxa"/>
          </w:tcPr>
          <w:p w14:paraId="5698D6E2" w14:textId="4055FF83" w:rsidR="008545C5" w:rsidRPr="00861362" w:rsidRDefault="008545C5" w:rsidP="004F4360"/>
        </w:tc>
      </w:tr>
    </w:tbl>
    <w:p w14:paraId="680DD06C" w14:textId="77777777" w:rsidR="008545C5" w:rsidRDefault="008545C5" w:rsidP="00F035A2">
      <w:pPr>
        <w:ind w:left="360" w:right="284"/>
        <w:sectPr w:rsidR="008545C5" w:rsidSect="008545C5">
          <w:pgSz w:w="16838" w:h="11906" w:orient="landscape"/>
          <w:pgMar w:top="720" w:right="720" w:bottom="720" w:left="720" w:header="708" w:footer="708" w:gutter="0"/>
          <w:cols w:space="708"/>
          <w:titlePg/>
          <w:docGrid w:linePitch="360"/>
        </w:sectPr>
      </w:pPr>
    </w:p>
    <w:p w14:paraId="14B0800F" w14:textId="311C97D6" w:rsidR="00A9204B" w:rsidRDefault="00674481" w:rsidP="00674481">
      <w:pPr>
        <w:pStyle w:val="Heading1-report"/>
        <w:spacing w:before="0"/>
        <w:ind w:left="1440"/>
      </w:pPr>
      <w:r>
        <w:rPr>
          <w:noProof/>
        </w:rPr>
        <w:lastRenderedPageBreak/>
        <mc:AlternateContent>
          <mc:Choice Requires="wps">
            <w:drawing>
              <wp:anchor distT="45720" distB="45720" distL="114300" distR="114300" simplePos="0" relativeHeight="251658301" behindDoc="0" locked="0" layoutInCell="1" allowOverlap="1" wp14:anchorId="0277ADEE" wp14:editId="1A6ABE26">
                <wp:simplePos x="0" y="0"/>
                <wp:positionH relativeFrom="margin">
                  <wp:posOffset>6350</wp:posOffset>
                </wp:positionH>
                <wp:positionV relativeFrom="paragraph">
                  <wp:posOffset>800072</wp:posOffset>
                </wp:positionV>
                <wp:extent cx="5735955" cy="1404620"/>
                <wp:effectExtent l="0" t="0" r="17145" b="22225"/>
                <wp:wrapSquare wrapText="bothSides"/>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404620"/>
                        </a:xfrm>
                        <a:prstGeom prst="rect">
                          <a:avLst/>
                        </a:prstGeom>
                        <a:solidFill>
                          <a:srgbClr val="201547"/>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3F6BC541" w14:textId="6ECBD9AB" w:rsidR="00C51469" w:rsidRPr="00C51469" w:rsidRDefault="00C51469" w:rsidP="00C51469">
                            <w:pPr>
                              <w:pStyle w:val="Heading3-report"/>
                              <w:rPr>
                                <w:color w:val="FFFFFF" w:themeColor="background1"/>
                              </w:rPr>
                            </w:pPr>
                            <w:r w:rsidRPr="00C51469">
                              <w:rPr>
                                <w:color w:val="FFFFFF" w:themeColor="background1"/>
                              </w:rPr>
                              <w:t>Section 21 Right to liberty and security of person</w:t>
                            </w:r>
                          </w:p>
                          <w:p w14:paraId="247B2874" w14:textId="77777777" w:rsidR="00C51469" w:rsidRPr="00C51469" w:rsidRDefault="00C51469" w:rsidP="00C51469">
                            <w:pPr>
                              <w:rPr>
                                <w:color w:val="FFFFFF" w:themeColor="background1"/>
                              </w:rPr>
                            </w:pPr>
                            <w:r w:rsidRPr="00C51469">
                              <w:rPr>
                                <w:color w:val="FFFFFF" w:themeColor="background1"/>
                              </w:rPr>
                              <w:t xml:space="preserve">(1) Every person has the right to liberty and security.  </w:t>
                            </w:r>
                          </w:p>
                          <w:p w14:paraId="23CBBBD1" w14:textId="77777777" w:rsidR="00C51469" w:rsidRPr="00C51469" w:rsidRDefault="00C51469" w:rsidP="00C51469">
                            <w:pPr>
                              <w:rPr>
                                <w:color w:val="FFFFFF" w:themeColor="background1"/>
                              </w:rPr>
                            </w:pPr>
                            <w:r w:rsidRPr="00C51469">
                              <w:rPr>
                                <w:color w:val="FFFFFF" w:themeColor="background1"/>
                              </w:rPr>
                              <w:t xml:space="preserve">(2) A person must not be subjected to arbitrary arrest or detention.  </w:t>
                            </w:r>
                          </w:p>
                          <w:p w14:paraId="59F0F3F3" w14:textId="77777777" w:rsidR="00C51469" w:rsidRPr="00C51469" w:rsidRDefault="00C51469" w:rsidP="00C51469">
                            <w:pPr>
                              <w:rPr>
                                <w:color w:val="FFFFFF" w:themeColor="background1"/>
                              </w:rPr>
                            </w:pPr>
                            <w:r w:rsidRPr="00C51469">
                              <w:rPr>
                                <w:color w:val="FFFFFF" w:themeColor="background1"/>
                              </w:rPr>
                              <w:t xml:space="preserve">(3) A person must not be deprived of that person's liberty except on grounds, and in accordance with procedures, established by law.  </w:t>
                            </w:r>
                          </w:p>
                          <w:p w14:paraId="0BCBA5DF" w14:textId="77777777" w:rsidR="00C51469" w:rsidRPr="00C51469" w:rsidRDefault="00C51469" w:rsidP="00C51469">
                            <w:pPr>
                              <w:rPr>
                                <w:color w:val="FFFFFF" w:themeColor="background1"/>
                              </w:rPr>
                            </w:pPr>
                            <w:r w:rsidRPr="00C51469">
                              <w:rPr>
                                <w:color w:val="FFFFFF" w:themeColor="background1"/>
                              </w:rPr>
                              <w:t xml:space="preserve">(4) A person who is arrested or detained must be informed at the time of arrest or detention of the reason for the arrest or detention and must be promptly informed about any proceedings to be brought against that person.  </w:t>
                            </w:r>
                          </w:p>
                          <w:p w14:paraId="1EA70167" w14:textId="77777777" w:rsidR="00C51469" w:rsidRPr="00C51469" w:rsidRDefault="00C51469" w:rsidP="00C51469">
                            <w:pPr>
                              <w:rPr>
                                <w:color w:val="FFFFFF" w:themeColor="background1"/>
                              </w:rPr>
                            </w:pPr>
                            <w:r w:rsidRPr="00C51469">
                              <w:rPr>
                                <w:color w:val="FFFFFF" w:themeColor="background1"/>
                              </w:rPr>
                              <w:t xml:space="preserve">(5) A person who is arrested or detained on a criminal charge—  </w:t>
                            </w:r>
                          </w:p>
                          <w:p w14:paraId="07ED9866" w14:textId="77777777" w:rsidR="00C51469" w:rsidRPr="00C51469" w:rsidRDefault="00C51469" w:rsidP="00C51469">
                            <w:pPr>
                              <w:ind w:left="720"/>
                              <w:rPr>
                                <w:color w:val="FFFFFF" w:themeColor="background1"/>
                              </w:rPr>
                            </w:pPr>
                            <w:r w:rsidRPr="00C51469">
                              <w:rPr>
                                <w:color w:val="FFFFFF" w:themeColor="background1"/>
                              </w:rPr>
                              <w:t xml:space="preserve">(a) must be promptly brought before a court; and  </w:t>
                            </w:r>
                          </w:p>
                          <w:p w14:paraId="40FC3B93" w14:textId="77777777" w:rsidR="00C51469" w:rsidRPr="00C51469" w:rsidRDefault="00C51469" w:rsidP="00C51469">
                            <w:pPr>
                              <w:ind w:left="720"/>
                              <w:rPr>
                                <w:color w:val="FFFFFF" w:themeColor="background1"/>
                              </w:rPr>
                            </w:pPr>
                            <w:r w:rsidRPr="00C51469">
                              <w:rPr>
                                <w:color w:val="FFFFFF" w:themeColor="background1"/>
                              </w:rPr>
                              <w:t xml:space="preserve">(b) has the right to be brought to trial without unreasonable delay; and  </w:t>
                            </w:r>
                          </w:p>
                          <w:p w14:paraId="27864AEC" w14:textId="77777777" w:rsidR="00C51469" w:rsidRPr="00C51469" w:rsidRDefault="00C51469" w:rsidP="00C51469">
                            <w:pPr>
                              <w:ind w:left="720"/>
                              <w:rPr>
                                <w:color w:val="FFFFFF" w:themeColor="background1"/>
                              </w:rPr>
                            </w:pPr>
                            <w:r w:rsidRPr="00C51469">
                              <w:rPr>
                                <w:color w:val="FFFFFF" w:themeColor="background1"/>
                              </w:rPr>
                              <w:t xml:space="preserve">(c) must be released if paragraph (a) or (b) is not complied with.  </w:t>
                            </w:r>
                          </w:p>
                          <w:p w14:paraId="65F51560" w14:textId="77777777" w:rsidR="00C51469" w:rsidRPr="00C51469" w:rsidRDefault="00C51469" w:rsidP="00C51469">
                            <w:pPr>
                              <w:rPr>
                                <w:color w:val="FFFFFF" w:themeColor="background1"/>
                              </w:rPr>
                            </w:pPr>
                            <w:r w:rsidRPr="00C51469">
                              <w:rPr>
                                <w:color w:val="FFFFFF" w:themeColor="background1"/>
                              </w:rPr>
                              <w:t xml:space="preserve">(6) A person awaiting trial must not be automatically detained in custody, but that person's release may be subject to guarantees to attend— </w:t>
                            </w:r>
                          </w:p>
                          <w:p w14:paraId="0641F552" w14:textId="77777777" w:rsidR="00C51469" w:rsidRPr="00C51469" w:rsidRDefault="00C51469" w:rsidP="00C51469">
                            <w:pPr>
                              <w:ind w:left="720"/>
                              <w:rPr>
                                <w:color w:val="FFFFFF" w:themeColor="background1"/>
                              </w:rPr>
                            </w:pPr>
                            <w:r w:rsidRPr="00C51469">
                              <w:rPr>
                                <w:color w:val="FFFFFF" w:themeColor="background1"/>
                              </w:rPr>
                              <w:t xml:space="preserve">(a) for trial; and  </w:t>
                            </w:r>
                          </w:p>
                          <w:p w14:paraId="2B6CFE6B" w14:textId="77777777" w:rsidR="00C51469" w:rsidRPr="00C51469" w:rsidRDefault="00C51469" w:rsidP="00C51469">
                            <w:pPr>
                              <w:ind w:left="720"/>
                              <w:rPr>
                                <w:color w:val="FFFFFF" w:themeColor="background1"/>
                              </w:rPr>
                            </w:pPr>
                            <w:r w:rsidRPr="00C51469">
                              <w:rPr>
                                <w:color w:val="FFFFFF" w:themeColor="background1"/>
                              </w:rPr>
                              <w:t xml:space="preserve">(b) at any other stage of the judicial proceeding; and  </w:t>
                            </w:r>
                          </w:p>
                          <w:p w14:paraId="0F69081F" w14:textId="77777777" w:rsidR="00C51469" w:rsidRPr="00C51469" w:rsidRDefault="00C51469" w:rsidP="00C51469">
                            <w:pPr>
                              <w:ind w:left="720"/>
                              <w:rPr>
                                <w:color w:val="FFFFFF" w:themeColor="background1"/>
                              </w:rPr>
                            </w:pPr>
                            <w:r w:rsidRPr="00C51469">
                              <w:rPr>
                                <w:color w:val="FFFFFF" w:themeColor="background1"/>
                              </w:rPr>
                              <w:t xml:space="preserve">(c) if appropriate, for execution of judgment.  </w:t>
                            </w:r>
                          </w:p>
                          <w:p w14:paraId="4B69380C" w14:textId="77777777" w:rsidR="00C51469" w:rsidRPr="00C51469" w:rsidRDefault="00C51469" w:rsidP="00C51469">
                            <w:pPr>
                              <w:rPr>
                                <w:color w:val="FFFFFF" w:themeColor="background1"/>
                              </w:rPr>
                            </w:pPr>
                            <w:r w:rsidRPr="00C51469">
                              <w:rPr>
                                <w:color w:val="FFFFFF" w:themeColor="background1"/>
                              </w:rPr>
                              <w:t xml:space="preserve">(7) Any person deprived of liberty by arrest or detention is entitled to apply to a court for a declaration or order regarding the lawfulness of that person's detention, and the court must— </w:t>
                            </w:r>
                          </w:p>
                          <w:p w14:paraId="1E97F356" w14:textId="77777777" w:rsidR="00C51469" w:rsidRPr="00C51469" w:rsidRDefault="00C51469" w:rsidP="00C51469">
                            <w:pPr>
                              <w:ind w:left="720"/>
                              <w:rPr>
                                <w:color w:val="FFFFFF" w:themeColor="background1"/>
                              </w:rPr>
                            </w:pPr>
                            <w:r w:rsidRPr="00C51469">
                              <w:rPr>
                                <w:color w:val="FFFFFF" w:themeColor="background1"/>
                              </w:rPr>
                              <w:t xml:space="preserve">(a) make a decision without delay; and </w:t>
                            </w:r>
                          </w:p>
                          <w:p w14:paraId="465EEEF4" w14:textId="77777777" w:rsidR="00C51469" w:rsidRPr="00C51469" w:rsidRDefault="00C51469" w:rsidP="00C51469">
                            <w:pPr>
                              <w:ind w:left="720"/>
                              <w:rPr>
                                <w:color w:val="FFFFFF" w:themeColor="background1"/>
                              </w:rPr>
                            </w:pPr>
                            <w:r w:rsidRPr="00C51469">
                              <w:rPr>
                                <w:color w:val="FFFFFF" w:themeColor="background1"/>
                              </w:rPr>
                              <w:t xml:space="preserve">(b) order the release of the person if it finds that the detention is unlawful. </w:t>
                            </w:r>
                          </w:p>
                          <w:p w14:paraId="127BC528" w14:textId="7FF4D63D" w:rsidR="00C51469" w:rsidRPr="00C51469" w:rsidRDefault="00C51469" w:rsidP="00C51469">
                            <w:pPr>
                              <w:rPr>
                                <w:color w:val="FFFFFF" w:themeColor="background1"/>
                              </w:rPr>
                            </w:pPr>
                            <w:r w:rsidRPr="00C51469">
                              <w:rPr>
                                <w:color w:val="FFFFFF" w:themeColor="background1"/>
                              </w:rPr>
                              <w:t>(8) A person must not be imprisoned only because of that person's inability to perform a contractual obligation.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77ADEE" id="Text Box 261" o:spid="_x0000_s1053" type="#_x0000_t202" style="position:absolute;left:0;text-align:left;margin-left:.5pt;margin-top:63pt;width:451.65pt;height:110.6pt;z-index:25165830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" fillcolor="#201547" strokecolor="#1b383a [1604]" strokeweight="1pt">
                <v:textbox style="mso-fit-shape-to-text:t">
                  <w:txbxContent>
                    <w:p w14:paraId="3F6BC541" w14:textId="6ECBD9AB" w:rsidR="00C51469" w:rsidRPr="00C51469" w:rsidRDefault="00C51469" w:rsidP="00C51469">
                      <w:pPr>
                        <w:pStyle w:val="Heading3-report"/>
                        <w:rPr>
                          <w:color w:val="FFFFFF" w:themeColor="background1"/>
                        </w:rPr>
                      </w:pPr>
                      <w:r w:rsidRPr="00C51469">
                        <w:rPr>
                          <w:color w:val="FFFFFF" w:themeColor="background1"/>
                        </w:rPr>
                        <w:t>Section 21 Right to liberty and security of person</w:t>
                      </w:r>
                    </w:p>
                    <w:p w14:paraId="247B2874" w14:textId="77777777" w:rsidR="00C51469" w:rsidRPr="00C51469" w:rsidRDefault="00C51469" w:rsidP="00C51469">
                      <w:pPr>
                        <w:rPr>
                          <w:color w:val="FFFFFF" w:themeColor="background1"/>
                        </w:rPr>
                      </w:pPr>
                      <w:r w:rsidRPr="00C51469">
                        <w:rPr>
                          <w:color w:val="FFFFFF" w:themeColor="background1"/>
                        </w:rPr>
                        <w:t xml:space="preserve">(1) Every person has the right to liberty and security.  </w:t>
                      </w:r>
                    </w:p>
                    <w:p w14:paraId="23CBBBD1" w14:textId="77777777" w:rsidR="00C51469" w:rsidRPr="00C51469" w:rsidRDefault="00C51469" w:rsidP="00C51469">
                      <w:pPr>
                        <w:rPr>
                          <w:color w:val="FFFFFF" w:themeColor="background1"/>
                        </w:rPr>
                      </w:pPr>
                      <w:r w:rsidRPr="00C51469">
                        <w:rPr>
                          <w:color w:val="FFFFFF" w:themeColor="background1"/>
                        </w:rPr>
                        <w:t xml:space="preserve">(2) A person must not be subjected to arbitrary arrest or detention.  </w:t>
                      </w:r>
                    </w:p>
                    <w:p w14:paraId="59F0F3F3" w14:textId="77777777" w:rsidR="00C51469" w:rsidRPr="00C51469" w:rsidRDefault="00C51469" w:rsidP="00C51469">
                      <w:pPr>
                        <w:rPr>
                          <w:color w:val="FFFFFF" w:themeColor="background1"/>
                        </w:rPr>
                      </w:pPr>
                      <w:r w:rsidRPr="00C51469">
                        <w:rPr>
                          <w:color w:val="FFFFFF" w:themeColor="background1"/>
                        </w:rPr>
                        <w:t xml:space="preserve">(3) A person must not be deprived of that person's liberty except on grounds, and in accordance with procedures, established by law.  </w:t>
                      </w:r>
                    </w:p>
                    <w:p w14:paraId="0BCBA5DF" w14:textId="77777777" w:rsidR="00C51469" w:rsidRPr="00C51469" w:rsidRDefault="00C51469" w:rsidP="00C51469">
                      <w:pPr>
                        <w:rPr>
                          <w:color w:val="FFFFFF" w:themeColor="background1"/>
                        </w:rPr>
                      </w:pPr>
                      <w:r w:rsidRPr="00C51469">
                        <w:rPr>
                          <w:color w:val="FFFFFF" w:themeColor="background1"/>
                        </w:rPr>
                        <w:t xml:space="preserve">(4) A person who is arrested or detained must be informed at the time of arrest or detention of the reason for the arrest or detention and must be promptly informed about any proceedings to be brought against that person.  </w:t>
                      </w:r>
                    </w:p>
                    <w:p w14:paraId="1EA70167" w14:textId="77777777" w:rsidR="00C51469" w:rsidRPr="00C51469" w:rsidRDefault="00C51469" w:rsidP="00C51469">
                      <w:pPr>
                        <w:rPr>
                          <w:color w:val="FFFFFF" w:themeColor="background1"/>
                        </w:rPr>
                      </w:pPr>
                      <w:r w:rsidRPr="00C51469">
                        <w:rPr>
                          <w:color w:val="FFFFFF" w:themeColor="background1"/>
                        </w:rPr>
                        <w:t xml:space="preserve">(5) A person who is arrested or detained on a criminal charge—  </w:t>
                      </w:r>
                    </w:p>
                    <w:p w14:paraId="07ED9866" w14:textId="77777777" w:rsidR="00C51469" w:rsidRPr="00C51469" w:rsidRDefault="00C51469" w:rsidP="00C51469">
                      <w:pPr>
                        <w:ind w:left="720"/>
                        <w:rPr>
                          <w:color w:val="FFFFFF" w:themeColor="background1"/>
                        </w:rPr>
                      </w:pPr>
                      <w:r w:rsidRPr="00C51469">
                        <w:rPr>
                          <w:color w:val="FFFFFF" w:themeColor="background1"/>
                        </w:rPr>
                        <w:t xml:space="preserve">(a) must be promptly brought before a court; and  </w:t>
                      </w:r>
                    </w:p>
                    <w:p w14:paraId="40FC3B93" w14:textId="77777777" w:rsidR="00C51469" w:rsidRPr="00C51469" w:rsidRDefault="00C51469" w:rsidP="00C51469">
                      <w:pPr>
                        <w:ind w:left="720"/>
                        <w:rPr>
                          <w:color w:val="FFFFFF" w:themeColor="background1"/>
                        </w:rPr>
                      </w:pPr>
                      <w:r w:rsidRPr="00C51469">
                        <w:rPr>
                          <w:color w:val="FFFFFF" w:themeColor="background1"/>
                        </w:rPr>
                        <w:t xml:space="preserve">(b) has the right to be brought to trial without unreasonable delay; and  </w:t>
                      </w:r>
                    </w:p>
                    <w:p w14:paraId="27864AEC" w14:textId="77777777" w:rsidR="00C51469" w:rsidRPr="00C51469" w:rsidRDefault="00C51469" w:rsidP="00C51469">
                      <w:pPr>
                        <w:ind w:left="720"/>
                        <w:rPr>
                          <w:color w:val="FFFFFF" w:themeColor="background1"/>
                        </w:rPr>
                      </w:pPr>
                      <w:r w:rsidRPr="00C51469">
                        <w:rPr>
                          <w:color w:val="FFFFFF" w:themeColor="background1"/>
                        </w:rPr>
                        <w:t xml:space="preserve">(c) must be released if paragraph (a) or (b) is not complied with.  </w:t>
                      </w:r>
                    </w:p>
                    <w:p w14:paraId="65F51560" w14:textId="77777777" w:rsidR="00C51469" w:rsidRPr="00C51469" w:rsidRDefault="00C51469" w:rsidP="00C51469">
                      <w:pPr>
                        <w:rPr>
                          <w:color w:val="FFFFFF" w:themeColor="background1"/>
                        </w:rPr>
                      </w:pPr>
                      <w:r w:rsidRPr="00C51469">
                        <w:rPr>
                          <w:color w:val="FFFFFF" w:themeColor="background1"/>
                        </w:rPr>
                        <w:t xml:space="preserve">(6) A person awaiting trial must not be automatically detained in custody, but that person's release may be subject to guarantees to attend— </w:t>
                      </w:r>
                    </w:p>
                    <w:p w14:paraId="0641F552" w14:textId="77777777" w:rsidR="00C51469" w:rsidRPr="00C51469" w:rsidRDefault="00C51469" w:rsidP="00C51469">
                      <w:pPr>
                        <w:ind w:left="720"/>
                        <w:rPr>
                          <w:color w:val="FFFFFF" w:themeColor="background1"/>
                        </w:rPr>
                      </w:pPr>
                      <w:r w:rsidRPr="00C51469">
                        <w:rPr>
                          <w:color w:val="FFFFFF" w:themeColor="background1"/>
                        </w:rPr>
                        <w:t xml:space="preserve">(a) for trial; and  </w:t>
                      </w:r>
                    </w:p>
                    <w:p w14:paraId="2B6CFE6B" w14:textId="77777777" w:rsidR="00C51469" w:rsidRPr="00C51469" w:rsidRDefault="00C51469" w:rsidP="00C51469">
                      <w:pPr>
                        <w:ind w:left="720"/>
                        <w:rPr>
                          <w:color w:val="FFFFFF" w:themeColor="background1"/>
                        </w:rPr>
                      </w:pPr>
                      <w:r w:rsidRPr="00C51469">
                        <w:rPr>
                          <w:color w:val="FFFFFF" w:themeColor="background1"/>
                        </w:rPr>
                        <w:t xml:space="preserve">(b) at any other stage of the judicial proceeding; and  </w:t>
                      </w:r>
                    </w:p>
                    <w:p w14:paraId="0F69081F" w14:textId="77777777" w:rsidR="00C51469" w:rsidRPr="00C51469" w:rsidRDefault="00C51469" w:rsidP="00C51469">
                      <w:pPr>
                        <w:ind w:left="720"/>
                        <w:rPr>
                          <w:color w:val="FFFFFF" w:themeColor="background1"/>
                        </w:rPr>
                      </w:pPr>
                      <w:r w:rsidRPr="00C51469">
                        <w:rPr>
                          <w:color w:val="FFFFFF" w:themeColor="background1"/>
                        </w:rPr>
                        <w:t xml:space="preserve">(c) if appropriate, for execution of judgment.  </w:t>
                      </w:r>
                    </w:p>
                    <w:p w14:paraId="4B69380C" w14:textId="77777777" w:rsidR="00C51469" w:rsidRPr="00C51469" w:rsidRDefault="00C51469" w:rsidP="00C51469">
                      <w:pPr>
                        <w:rPr>
                          <w:color w:val="FFFFFF" w:themeColor="background1"/>
                        </w:rPr>
                      </w:pPr>
                      <w:r w:rsidRPr="00C51469">
                        <w:rPr>
                          <w:color w:val="FFFFFF" w:themeColor="background1"/>
                        </w:rPr>
                        <w:t xml:space="preserve">(7) Any person deprived of liberty by arrest or detention is entitled to apply to a court for a declaration or order regarding the lawfulness of that person's detention, and the court must— </w:t>
                      </w:r>
                    </w:p>
                    <w:p w14:paraId="1E97F356" w14:textId="77777777" w:rsidR="00C51469" w:rsidRPr="00C51469" w:rsidRDefault="00C51469" w:rsidP="00C51469">
                      <w:pPr>
                        <w:ind w:left="720"/>
                        <w:rPr>
                          <w:color w:val="FFFFFF" w:themeColor="background1"/>
                        </w:rPr>
                      </w:pPr>
                      <w:r w:rsidRPr="00C51469">
                        <w:rPr>
                          <w:color w:val="FFFFFF" w:themeColor="background1"/>
                        </w:rPr>
                        <w:t xml:space="preserve">(a) make a decision without delay; and </w:t>
                      </w:r>
                    </w:p>
                    <w:p w14:paraId="465EEEF4" w14:textId="77777777" w:rsidR="00C51469" w:rsidRPr="00C51469" w:rsidRDefault="00C51469" w:rsidP="00C51469">
                      <w:pPr>
                        <w:ind w:left="720"/>
                        <w:rPr>
                          <w:color w:val="FFFFFF" w:themeColor="background1"/>
                        </w:rPr>
                      </w:pPr>
                      <w:r w:rsidRPr="00C51469">
                        <w:rPr>
                          <w:color w:val="FFFFFF" w:themeColor="background1"/>
                        </w:rPr>
                        <w:t xml:space="preserve">(b) order the release of the person if it finds that the detention is unlawful. </w:t>
                      </w:r>
                    </w:p>
                    <w:p w14:paraId="127BC528" w14:textId="7FF4D63D" w:rsidR="00C51469" w:rsidRPr="00C51469" w:rsidRDefault="00C51469" w:rsidP="00C51469">
                      <w:pPr>
                        <w:rPr>
                          <w:color w:val="FFFFFF" w:themeColor="background1"/>
                        </w:rPr>
                      </w:pPr>
                      <w:r w:rsidRPr="00C51469">
                        <w:rPr>
                          <w:color w:val="FFFFFF" w:themeColor="background1"/>
                        </w:rPr>
                        <w:t>(8) A person must not be imprisoned only because of that person's inability to perform a contractual obligation.</w:t>
                      </w:r>
                    </w:p>
                  </w:txbxContent>
                </v:textbox>
                <w10:wrap type="square" anchorx="margin"/>
              </v:shape>
            </w:pict>
          </mc:Fallback>
        </mc:AlternateContent>
      </w:r>
      <w:r w:rsidR="003926D7">
        <w:rPr>
          <w:noProof/>
        </w:rPr>
        <w:drawing>
          <wp:anchor distT="0" distB="0" distL="114300" distR="114300" simplePos="0" relativeHeight="251658283" behindDoc="0" locked="0" layoutInCell="1" allowOverlap="1" wp14:anchorId="560DEA34" wp14:editId="17B5428C">
            <wp:simplePos x="0" y="0"/>
            <wp:positionH relativeFrom="margin">
              <wp:align>left</wp:align>
            </wp:positionH>
            <wp:positionV relativeFrom="paragraph">
              <wp:posOffset>5352</wp:posOffset>
            </wp:positionV>
            <wp:extent cx="571500" cy="571500"/>
            <wp:effectExtent l="0" t="0" r="0" b="0"/>
            <wp:wrapNone/>
            <wp:docPr id="223" name="Picture 223"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223" descr="Shield"/>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04B">
        <w:t>Right to liberty and security of person (section 21)</w:t>
      </w:r>
    </w:p>
    <w:p w14:paraId="09ABC96A" w14:textId="78CD64E3" w:rsidR="00674481" w:rsidRDefault="00E33440" w:rsidP="00E33440">
      <w:pPr>
        <w:pStyle w:val="BoldedRightsIntro"/>
      </w:pPr>
      <w:r>
        <w:t>The mental health and wellbeing system, as well as other systems, place significant restrictions on mental health consumers’ rights. Advocates and people with lived experience advocate against these restrictions.</w:t>
      </w:r>
      <w:r w:rsidR="00444C84" w:rsidRPr="0091262D">
        <w:rPr>
          <w:rStyle w:val="FootnoteReference"/>
        </w:rPr>
        <w:footnoteReference w:id="188"/>
      </w:r>
      <w:r>
        <w:t xml:space="preserve"> </w:t>
      </w:r>
      <w:r w:rsidR="00444C84">
        <w:t xml:space="preserve">It is important, at a minimum, that any </w:t>
      </w:r>
      <w:r w:rsidR="00444C84">
        <w:lastRenderedPageBreak/>
        <w:t>restrictions that are placed on someone’s rights are done in the</w:t>
      </w:r>
      <w:r w:rsidR="000B2DAB">
        <w:t xml:space="preserve"> least restrictive way possible and in accordance with the law. This is a feature of the right to liberty and security of person.</w:t>
      </w:r>
    </w:p>
    <w:p w14:paraId="53D7BAA5" w14:textId="170D99DC" w:rsidR="00A45A72" w:rsidRDefault="00A45A72" w:rsidP="00A45A72">
      <w:pPr>
        <w:spacing w:before="120"/>
      </w:pPr>
      <w:r>
        <w:t>Section 21 of the Charter protects people against the unlawful or arbitrary deprivation of liberty. The first four subsections of this right apply to any deprivation of liberty, including deprivations of liberty in the mental health and wellbeing system.</w:t>
      </w:r>
      <w:r w:rsidRPr="0091262D">
        <w:rPr>
          <w:rStyle w:val="FootnoteReference"/>
        </w:rPr>
        <w:footnoteReference w:id="189"/>
      </w:r>
      <w:r>
        <w:t xml:space="preserve"> </w:t>
      </w:r>
    </w:p>
    <w:p w14:paraId="16202B7A" w14:textId="77777777" w:rsidR="00A45A72" w:rsidRDefault="00A45A72" w:rsidP="00A45A72">
      <w:pPr>
        <w:spacing w:before="120"/>
      </w:pPr>
      <w:r>
        <w:t>This right can be relevant any time a person is detained (which means that the person is not free to leave a place by their own choice). The right is not limited to circumstances where a person is being held under a legal order.</w:t>
      </w:r>
    </w:p>
    <w:p w14:paraId="6B30B17F" w14:textId="77777777" w:rsidR="00A45A72" w:rsidRDefault="00A45A72" w:rsidP="00A45A72">
      <w:pPr>
        <w:spacing w:before="120"/>
      </w:pPr>
      <w:r>
        <w:t>In subsection (1), the right to ‘security’ requires public authorities to protect a person’s security. The concept of security can cover both physical and mental wellbeing.</w:t>
      </w:r>
    </w:p>
    <w:p w14:paraId="46164E98" w14:textId="5AEEA410" w:rsidR="00A45A72" w:rsidRDefault="00A45A72" w:rsidP="00A45A72">
      <w:pPr>
        <w:spacing w:before="120"/>
      </w:pPr>
      <w:r>
        <w:t>Subsection (2) states that a person must not be subject to arbitrary arrest or detention. Even when a deprivation of liberty is lawful, the section 21(2) right can be limited if the deprivation of liberty is arbitrary. ‘Arbitrary’ can involve circumstances that are capricious, unpredictable, unjust or unreasonable ‘in the sense of not being proportionate to a legitimate aim sought’.</w:t>
      </w:r>
      <w:r w:rsidRPr="0091262D">
        <w:rPr>
          <w:rStyle w:val="FootnoteReference"/>
        </w:rPr>
        <w:footnoteReference w:id="190"/>
      </w:r>
      <w:r>
        <w:t xml:space="preserve"> </w:t>
      </w:r>
      <w:r w:rsidRPr="6D69D0D5">
        <w:rPr>
          <w:color w:val="000000"/>
          <w:shd w:val="clear" w:color="auto" w:fill="FFFFFF"/>
        </w:rPr>
        <w:t>In </w:t>
      </w:r>
      <w:r w:rsidRPr="6D69D0D5">
        <w:rPr>
          <w:rStyle w:val="Emphasis"/>
          <w:color w:val="000000"/>
          <w:shd w:val="clear" w:color="auto" w:fill="FFFFFF"/>
        </w:rPr>
        <w:t>Kracke, </w:t>
      </w:r>
      <w:r w:rsidR="00C11A52">
        <w:rPr>
          <w:color w:val="000000"/>
          <w:shd w:val="clear" w:color="auto" w:fill="FFFFFF"/>
        </w:rPr>
        <w:t>VCAT</w:t>
      </w:r>
      <w:r w:rsidRPr="6D69D0D5">
        <w:rPr>
          <w:color w:val="000000"/>
          <w:shd w:val="clear" w:color="auto" w:fill="FFFFFF"/>
        </w:rPr>
        <w:t xml:space="preserve"> discussed how the failure of safeguards may affect the question of whether detention is ‘arbitrary’.</w:t>
      </w:r>
      <w:r w:rsidRPr="0091262D">
        <w:rPr>
          <w:rStyle w:val="FootnoteReference"/>
        </w:rPr>
        <w:footnoteReference w:id="191"/>
      </w:r>
      <w:r w:rsidRPr="004B576C">
        <w:t xml:space="preserve"> </w:t>
      </w:r>
    </w:p>
    <w:p w14:paraId="063683FA" w14:textId="77777777" w:rsidR="006F0AF0" w:rsidRDefault="00A45A72" w:rsidP="006F0AF0">
      <w:pPr>
        <w:spacing w:before="120"/>
      </w:pPr>
      <w:r>
        <w:t>Subsection (3) provides that a person may only be detained in accordance with the law. This means that relevant statutory criteria must be satisfied as a prerequisite to the exercise of a power to detain a person (or as a condition of the exercise of any ongoing authority to detain a person).</w:t>
      </w:r>
      <w:r w:rsidRPr="0091262D">
        <w:rPr>
          <w:rStyle w:val="FootnoteReference"/>
        </w:rPr>
        <w:footnoteReference w:id="192"/>
      </w:r>
      <w:r>
        <w:t xml:space="preserve"> </w:t>
      </w:r>
    </w:p>
    <w:p w14:paraId="76F3ABE6" w14:textId="7CDB5AC7" w:rsidR="006F0AF0" w:rsidRDefault="006F0AF0" w:rsidP="006F0AF0">
      <w:pPr>
        <w:spacing w:before="120"/>
      </w:pPr>
      <w:r>
        <w:t>Subsections (5)–(8) of section 21 provide further detail about the minimum rights a person has when detained in the criminal justice system.</w:t>
      </w:r>
    </w:p>
    <w:p w14:paraId="275C905C" w14:textId="3E060FF7" w:rsidR="00C263F0" w:rsidRDefault="00C263F0" w:rsidP="00C263F0">
      <w:pPr>
        <w:pStyle w:val="Heading2-report"/>
      </w:pPr>
      <w:r>
        <w:t>Where this may be relevant to your work</w:t>
      </w:r>
    </w:p>
    <w:p w14:paraId="74896EE4" w14:textId="44D1C146" w:rsidR="00A45A72" w:rsidRDefault="00FD350A" w:rsidP="00A45A72">
      <w:pPr>
        <w:spacing w:before="120"/>
      </w:pPr>
      <w:r>
        <w:t xml:space="preserve">Regarding </w:t>
      </w:r>
      <w:r w:rsidR="006F0AF0">
        <w:t>subsection (3),</w:t>
      </w:r>
      <w:r w:rsidR="00A45A72">
        <w:t xml:space="preserve"> this means that if:</w:t>
      </w:r>
    </w:p>
    <w:p w14:paraId="577015F1" w14:textId="778FD80C" w:rsidR="00A45A72" w:rsidRDefault="00A45A72" w:rsidP="00E225B4">
      <w:pPr>
        <w:pStyle w:val="ListParagraph"/>
        <w:numPr>
          <w:ilvl w:val="0"/>
          <w:numId w:val="25"/>
        </w:numPr>
        <w:spacing w:before="120"/>
      </w:pPr>
      <w:r>
        <w:t xml:space="preserve">the </w:t>
      </w:r>
      <w:r w:rsidRPr="006C1551">
        <w:rPr>
          <w:i/>
          <w:iCs/>
        </w:rPr>
        <w:t>Mental Health Act 20</w:t>
      </w:r>
      <w:r w:rsidR="008E09EE">
        <w:rPr>
          <w:i/>
          <w:iCs/>
        </w:rPr>
        <w:t>1</w:t>
      </w:r>
      <w:r w:rsidRPr="006C1551">
        <w:rPr>
          <w:i/>
          <w:iCs/>
        </w:rPr>
        <w:t>4</w:t>
      </w:r>
      <w:r>
        <w:t xml:space="preserve"> </w:t>
      </w:r>
      <w:r w:rsidRPr="001D1D7F">
        <w:t>(Vic)/</w:t>
      </w:r>
      <w:r w:rsidRPr="004532F2">
        <w:t>Mental Health and Wellbeing Act sets</w:t>
      </w:r>
      <w:r>
        <w:t xml:space="preserve"> out a requirement that must be met before a person is detained, or a requirement that must be met when a person is being detained, and</w:t>
      </w:r>
    </w:p>
    <w:p w14:paraId="020694CC" w14:textId="77777777" w:rsidR="00A45A72" w:rsidRDefault="00A45A72" w:rsidP="00E225B4">
      <w:pPr>
        <w:pStyle w:val="ListParagraph"/>
        <w:numPr>
          <w:ilvl w:val="0"/>
          <w:numId w:val="25"/>
        </w:numPr>
        <w:spacing w:before="120"/>
      </w:pPr>
      <w:r>
        <w:t>the requirement under the relevant mental health legislation is not complied with,</w:t>
      </w:r>
    </w:p>
    <w:p w14:paraId="51870C35" w14:textId="087949B9" w:rsidR="00A45A72" w:rsidRDefault="00A45A72" w:rsidP="00A45A72">
      <w:pPr>
        <w:spacing w:before="120"/>
      </w:pPr>
      <w:r>
        <w:t>the</w:t>
      </w:r>
      <w:r w:rsidR="00B92DE2">
        <w:t>n the</w:t>
      </w:r>
      <w:r>
        <w:t xml:space="preserve"> person is being deprived of their liberty outside of the procedures established by law and the right to liberty in section 21 of the Charter is being limited.</w:t>
      </w:r>
      <w:r w:rsidR="00B7328C">
        <w:t xml:space="preserve"> This has significant </w:t>
      </w:r>
      <w:r w:rsidR="00B7328C">
        <w:lastRenderedPageBreak/>
        <w:t xml:space="preserve">implications for how you design policies that restrict or are part of restrictions on mental health consumers’ liberty. </w:t>
      </w:r>
    </w:p>
    <w:p w14:paraId="0C31B582" w14:textId="7A7E56FD" w:rsidR="00B7328C" w:rsidRDefault="00FD350A" w:rsidP="00B7328C">
      <w:pPr>
        <w:pStyle w:val="Heading3-report"/>
      </w:pPr>
      <w:r>
        <w:t>Ensuring compliance with rights</w:t>
      </w:r>
    </w:p>
    <w:p w14:paraId="7B11D4ED" w14:textId="21B15729" w:rsidR="00E02CF9" w:rsidRPr="00E02CF9" w:rsidRDefault="0C85D5A8" w:rsidP="00E02CF9">
      <w:r>
        <w:t>It is crucial that in developing policies, a ‘set and forget’ approach is avoided. The mental health and wellbeing system has significant issues regarding compliance with mental health and human rights laws. Therefore, it is unlikely that merely articulating the rights that mental health consumers and families, carers and supporters enjoy will be sufficient. Rights are not self-enforcing. Instead, Division staff will need to consider what tools they have</w:t>
      </w:r>
      <w:r w:rsidR="00BD6562">
        <w:t xml:space="preserve"> and could create</w:t>
      </w:r>
      <w:r>
        <w:t xml:space="preserve"> to encourage, support and enforce compliance with laws and procedures, particularly as they relate to rights. </w:t>
      </w:r>
    </w:p>
    <w:p w14:paraId="401D50E7" w14:textId="77777777" w:rsidR="00FD350A" w:rsidRPr="00FD350A" w:rsidRDefault="00FD350A" w:rsidP="00FD350A"/>
    <w:p w14:paraId="7D59B704" w14:textId="77777777" w:rsidR="00B7328C" w:rsidRDefault="00B7328C" w:rsidP="00A45A72">
      <w:pPr>
        <w:spacing w:before="120"/>
      </w:pPr>
    </w:p>
    <w:p w14:paraId="370089B0" w14:textId="77777777" w:rsidR="008E09EE" w:rsidRDefault="008E09EE" w:rsidP="00A45A72">
      <w:pPr>
        <w:spacing w:before="120"/>
        <w:sectPr w:rsidR="008E09EE" w:rsidSect="00271E88">
          <w:pgSz w:w="11906" w:h="16838"/>
          <w:pgMar w:top="1440" w:right="1418" w:bottom="1440" w:left="1418" w:header="708" w:footer="708" w:gutter="0"/>
          <w:cols w:space="708"/>
          <w:titlePg/>
          <w:docGrid w:linePitch="360"/>
        </w:sectPr>
      </w:pPr>
    </w:p>
    <w:p w14:paraId="07804ABE" w14:textId="13AC4493" w:rsidR="00A12F0C" w:rsidRDefault="00A12F0C" w:rsidP="00A12F0C">
      <w:pPr>
        <w:pStyle w:val="Heading1-report"/>
        <w:spacing w:before="0"/>
      </w:pPr>
      <w:r>
        <w:lastRenderedPageBreak/>
        <w:tab/>
      </w:r>
      <w:r>
        <w:rPr>
          <w:noProof/>
        </w:rPr>
        <mc:AlternateContent>
          <mc:Choice Requires="wps">
            <w:drawing>
              <wp:anchor distT="0" distB="0" distL="114300" distR="114300" simplePos="0" relativeHeight="251658277" behindDoc="1" locked="0" layoutInCell="1" allowOverlap="1" wp14:anchorId="36EB04B0" wp14:editId="66626E30">
                <wp:simplePos x="0" y="0"/>
                <wp:positionH relativeFrom="page">
                  <wp:align>left</wp:align>
                </wp:positionH>
                <wp:positionV relativeFrom="paragraph">
                  <wp:posOffset>-901811</wp:posOffset>
                </wp:positionV>
                <wp:extent cx="10693593" cy="7952874"/>
                <wp:effectExtent l="0" t="0" r="12700" b="10160"/>
                <wp:wrapNone/>
                <wp:docPr id="293" name="Rectangle 293"/>
                <wp:cNvGraphicFramePr/>
                <a:graphic xmlns:a="http://schemas.openxmlformats.org/drawingml/2006/main">
                  <a:graphicData uri="http://schemas.microsoft.com/office/word/2010/wordprocessingShape">
                    <wps:wsp>
                      <wps:cNvSpPr/>
                      <wps:spPr>
                        <a:xfrm>
                          <a:off x="0" y="0"/>
                          <a:ext cx="10693593" cy="7952874"/>
                        </a:xfrm>
                        <a:prstGeom prst="rect">
                          <a:avLst/>
                        </a:prstGeom>
                        <a:solidFill>
                          <a:srgbClr val="D0E8E9"/>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B63E49" w14:textId="77777777" w:rsidR="00A12F0C" w:rsidRDefault="00A12F0C" w:rsidP="00A12F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B04B0" id="Rectangle 293" o:spid="_x0000_s1054" style="position:absolute;margin-left:0;margin-top:-71pt;width:842pt;height:626.2pt;z-index:-25165820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" fillcolor="#d0e8e9" strokecolor="#1b383a [1604]" strokeweight="1pt">
                <v:textbox>
                  <w:txbxContent>
                    <w:p w14:paraId="41B63E49" w14:textId="77777777" w:rsidR="00A12F0C" w:rsidRDefault="00A12F0C" w:rsidP="00A12F0C">
                      <w:pPr>
                        <w:jc w:val="center"/>
                      </w:pPr>
                    </w:p>
                  </w:txbxContent>
                </v:textbox>
                <w10:wrap anchorx="page"/>
              </v:rect>
            </w:pict>
          </mc:Fallback>
        </mc:AlternateContent>
      </w:r>
      <w:r>
        <w:t xml:space="preserve">TAKE-HOMES: </w:t>
      </w:r>
      <w:r w:rsidR="00616BDD">
        <w:t>LIBERTY AND SECURITY OF PERSON</w:t>
      </w:r>
    </w:p>
    <w:tbl>
      <w:tblPr>
        <w:tblStyle w:val="TableGridLight"/>
        <w:tblW w:w="15446" w:type="dxa"/>
        <w:tblCellMar>
          <w:bottom w:w="284" w:type="dxa"/>
        </w:tblCellMar>
        <w:tblLook w:val="04A0" w:firstRow="1" w:lastRow="0" w:firstColumn="1" w:lastColumn="0" w:noHBand="0" w:noVBand="1"/>
      </w:tblPr>
      <w:tblGrid>
        <w:gridCol w:w="1056"/>
        <w:gridCol w:w="6374"/>
        <w:gridCol w:w="1056"/>
        <w:gridCol w:w="6960"/>
      </w:tblGrid>
      <w:tr w:rsidR="00A12F0C" w14:paraId="7CAB7FB7" w14:textId="77777777" w:rsidTr="0C85D5A8">
        <w:tc>
          <w:tcPr>
            <w:tcW w:w="1056" w:type="dxa"/>
          </w:tcPr>
          <w:p w14:paraId="5FC014CB" w14:textId="77777777" w:rsidR="00A12F0C" w:rsidRDefault="00A12F0C" w:rsidP="004F4360">
            <w:r>
              <w:rPr>
                <w:noProof/>
              </w:rPr>
              <w:drawing>
                <wp:inline distT="0" distB="0" distL="0" distR="0" wp14:anchorId="68D8CBC3" wp14:editId="600DECA7">
                  <wp:extent cx="526774" cy="526774"/>
                  <wp:effectExtent l="0" t="0" r="6985" b="6985"/>
                  <wp:docPr id="294" name="Graphic 294"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6452" w:type="dxa"/>
          </w:tcPr>
          <w:p w14:paraId="66EA8B4E" w14:textId="2977F753" w:rsidR="00A12F0C" w:rsidRDefault="005D4C0D" w:rsidP="004F4360">
            <w:pPr>
              <w:pStyle w:val="Heading3-report"/>
            </w:pPr>
            <w:r>
              <w:t xml:space="preserve">Use your levers </w:t>
            </w:r>
            <w:r w:rsidR="00735605">
              <w:t xml:space="preserve">and influence </w:t>
            </w:r>
            <w:r>
              <w:t>for compliance</w:t>
            </w:r>
          </w:p>
          <w:p w14:paraId="4EEF2E30" w14:textId="189BA034" w:rsidR="00A12F0C" w:rsidRPr="006F6EC8" w:rsidRDefault="005D4C0D" w:rsidP="004F4360">
            <w:r>
              <w:t xml:space="preserve">There </w:t>
            </w:r>
            <w:r w:rsidR="00CF2DC3">
              <w:t>are significant compliance issues with mental health laws and policies in Victoria.</w:t>
            </w:r>
            <w:r w:rsidR="00D64794" w:rsidRPr="0091262D">
              <w:rPr>
                <w:rStyle w:val="FootnoteReference"/>
              </w:rPr>
              <w:footnoteReference w:id="193"/>
            </w:r>
            <w:r w:rsidR="00CF2DC3">
              <w:t xml:space="preserve"> </w:t>
            </w:r>
            <w:r w:rsidR="004B79D6">
              <w:t>Many of these breaches</w:t>
            </w:r>
            <w:r w:rsidR="008D3871">
              <w:t xml:space="preserve"> </w:t>
            </w:r>
            <w:r w:rsidR="009537B2">
              <w:t>‘</w:t>
            </w:r>
            <w:r w:rsidR="008D3871">
              <w:t>on the ground</w:t>
            </w:r>
            <w:r w:rsidR="00D97F17">
              <w:t>’</w:t>
            </w:r>
            <w:r w:rsidR="008D3871">
              <w:t xml:space="preserve"> need to be addressed </w:t>
            </w:r>
            <w:r w:rsidR="00D97F17">
              <w:t>‘</w:t>
            </w:r>
            <w:r w:rsidR="008D3871">
              <w:t>upstream’.</w:t>
            </w:r>
            <w:r w:rsidR="008D3871" w:rsidRPr="0091262D">
              <w:rPr>
                <w:rStyle w:val="FootnoteReference"/>
              </w:rPr>
              <w:footnoteReference w:id="194"/>
            </w:r>
            <w:r w:rsidR="008D3871">
              <w:t xml:space="preserve"> The Division has many formal levers (</w:t>
            </w:r>
            <w:r w:rsidR="00116C6B">
              <w:t>commissioning standards, monitoring and outcomes frameworks, publication of performance data) and informal mechanisms (meetings</w:t>
            </w:r>
            <w:r w:rsidR="00F80B1C">
              <w:t xml:space="preserve"> and communications with services) to address this. Use them.</w:t>
            </w:r>
          </w:p>
        </w:tc>
        <w:tc>
          <w:tcPr>
            <w:tcW w:w="890" w:type="dxa"/>
          </w:tcPr>
          <w:p w14:paraId="48CBD522" w14:textId="77777777" w:rsidR="00A12F0C" w:rsidRDefault="00A12F0C" w:rsidP="004F4360">
            <w:r>
              <w:rPr>
                <w:noProof/>
              </w:rPr>
              <w:drawing>
                <wp:inline distT="0" distB="0" distL="0" distR="0" wp14:anchorId="113CA354" wp14:editId="5E528D21">
                  <wp:extent cx="526774" cy="526774"/>
                  <wp:effectExtent l="0" t="0" r="6985" b="6985"/>
                  <wp:docPr id="295" name="Graphic 295"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7048" w:type="dxa"/>
          </w:tcPr>
          <w:p w14:paraId="4EBC5031" w14:textId="22F4A2E2" w:rsidR="00A12F0C" w:rsidRDefault="00F80B1C" w:rsidP="004F4360">
            <w:pPr>
              <w:pStyle w:val="Heading3-report"/>
            </w:pPr>
            <w:r>
              <w:t>Communicate your expectations publicly and privately</w:t>
            </w:r>
          </w:p>
          <w:p w14:paraId="295D55A6" w14:textId="4655021C" w:rsidR="00A12F0C" w:rsidRPr="00861362" w:rsidRDefault="00F80B1C" w:rsidP="004F4360">
            <w:r>
              <w:t xml:space="preserve">It is important to remind mental health </w:t>
            </w:r>
            <w:r w:rsidR="001D6BE7">
              <w:t xml:space="preserve">and wellbeing </w:t>
            </w:r>
            <w:r>
              <w:t xml:space="preserve">services that the standards under the Charter and under mental health laws are not </w:t>
            </w:r>
            <w:r w:rsidR="00401A05">
              <w:t>voluntary.</w:t>
            </w:r>
            <w:r w:rsidR="00C1091A">
              <w:t xml:space="preserve"> The</w:t>
            </w:r>
            <w:r w:rsidR="00401A05">
              <w:t>y are requirements to operate lawfully and in line with community standards. It is important as a system steward and manager that this message is reiterated.</w:t>
            </w:r>
          </w:p>
        </w:tc>
      </w:tr>
      <w:tr w:rsidR="00A12F0C" w14:paraId="37FB1896" w14:textId="77777777" w:rsidTr="0C85D5A8">
        <w:tc>
          <w:tcPr>
            <w:tcW w:w="1056" w:type="dxa"/>
            <w:shd w:val="clear" w:color="auto" w:fill="auto"/>
          </w:tcPr>
          <w:p w14:paraId="5A4F9B72" w14:textId="77777777" w:rsidR="00A12F0C" w:rsidRDefault="00A12F0C" w:rsidP="004F4360">
            <w:r>
              <w:rPr>
                <w:noProof/>
              </w:rPr>
              <w:drawing>
                <wp:inline distT="0" distB="0" distL="0" distR="0" wp14:anchorId="1FFD0CFF" wp14:editId="49E85C97">
                  <wp:extent cx="526774" cy="526774"/>
                  <wp:effectExtent l="0" t="0" r="6985" b="6985"/>
                  <wp:docPr id="296" name="Graphic 296"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6452" w:type="dxa"/>
          </w:tcPr>
          <w:p w14:paraId="3B0B49F1" w14:textId="0E5F452C" w:rsidR="00A12F0C" w:rsidRDefault="004650B4" w:rsidP="004F4360">
            <w:pPr>
              <w:pStyle w:val="Heading3-report"/>
            </w:pPr>
            <w:r>
              <w:t>Promote enforcemen</w:t>
            </w:r>
            <w:r w:rsidR="007A1E3E">
              <w:t>t from enforcement bodies</w:t>
            </w:r>
          </w:p>
          <w:p w14:paraId="3B20811C" w14:textId="315D8CF3" w:rsidR="00A12F0C" w:rsidRPr="00271054" w:rsidRDefault="007A1E3E" w:rsidP="004F4360">
            <w:r>
              <w:t>Rights protection requires rights enforcement. These powers and duties are currently held by a range of bodies, including the Mental Health Tribunal, the Office of the Chief Psychiatrist and the Mental Health Complaints Commission (to become the Mental Health and Wellbeing Commission)</w:t>
            </w:r>
            <w:r w:rsidR="00A12F0C">
              <w:t>.</w:t>
            </w:r>
            <w:r>
              <w:t xml:space="preserve"> These bodies have been criticised for under-enforcement of rights.</w:t>
            </w:r>
            <w:r w:rsidR="001E5BE2" w:rsidRPr="0091262D">
              <w:rPr>
                <w:rStyle w:val="FootnoteReference"/>
              </w:rPr>
              <w:footnoteReference w:id="195"/>
            </w:r>
            <w:r w:rsidR="009B3E2D">
              <w:t xml:space="preserve"> Clear messaging to</w:t>
            </w:r>
            <w:r w:rsidR="00573C31">
              <w:t>, appropriate funding for,</w:t>
            </w:r>
            <w:r w:rsidR="009B3E2D">
              <w:t xml:space="preserve"> and accountability of these bodies for the performance of their functions from the system steward may be helpful.</w:t>
            </w:r>
            <w:r w:rsidR="00014A74">
              <w:t xml:space="preserve"> </w:t>
            </w:r>
          </w:p>
        </w:tc>
        <w:tc>
          <w:tcPr>
            <w:tcW w:w="890" w:type="dxa"/>
          </w:tcPr>
          <w:p w14:paraId="6905F1DA" w14:textId="77777777" w:rsidR="00A12F0C" w:rsidRDefault="00A12F0C" w:rsidP="004F4360">
            <w:r>
              <w:rPr>
                <w:noProof/>
              </w:rPr>
              <w:drawing>
                <wp:inline distT="0" distB="0" distL="0" distR="0" wp14:anchorId="7234F168" wp14:editId="741E19D7">
                  <wp:extent cx="526774" cy="526774"/>
                  <wp:effectExtent l="0" t="0" r="6985" b="6985"/>
                  <wp:docPr id="297" name="Graphic 297"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7048" w:type="dxa"/>
          </w:tcPr>
          <w:p w14:paraId="241C1A81" w14:textId="601D6DB6" w:rsidR="00A12F0C" w:rsidRDefault="00033DD9" w:rsidP="004F4360">
            <w:pPr>
              <w:pStyle w:val="Heading3-report"/>
            </w:pPr>
            <w:r>
              <w:t>Develop data capability on compliance</w:t>
            </w:r>
          </w:p>
          <w:p w14:paraId="65318653" w14:textId="3527EBC4" w:rsidR="00A12F0C" w:rsidRPr="00796694" w:rsidRDefault="00033DD9" w:rsidP="004F4360">
            <w:r>
              <w:t>Despite a range of formal duties under mental health laws and the Charter</w:t>
            </w:r>
            <w:r w:rsidR="004C0611">
              <w:t xml:space="preserve"> (such as informed consent provisions or the lawful use of restrictive practices)</w:t>
            </w:r>
            <w:r>
              <w:t xml:space="preserve">, there is limited data </w:t>
            </w:r>
            <w:r w:rsidR="0056626D">
              <w:t>that</w:t>
            </w:r>
            <w:r w:rsidR="000E7D5E">
              <w:t xml:space="preserve"> helps people to</w:t>
            </w:r>
            <w:r w:rsidR="0056626D">
              <w:t xml:space="preserve"> assess compliance</w:t>
            </w:r>
            <w:r w:rsidR="001C3EE0">
              <w:t xml:space="preserve"> with these laws</w:t>
            </w:r>
            <w:r w:rsidR="00A12F0C">
              <w:t>.</w:t>
            </w:r>
            <w:r w:rsidR="0056626D">
              <w:t xml:space="preserve"> As system steward, </w:t>
            </w:r>
            <w:r w:rsidR="001C3EE0">
              <w:t>the Department</w:t>
            </w:r>
            <w:r w:rsidR="0056626D">
              <w:t xml:space="preserve"> should consider how information communication technologies can be developed to gather routine data on compliance with these duties.</w:t>
            </w:r>
          </w:p>
        </w:tc>
      </w:tr>
    </w:tbl>
    <w:p w14:paraId="607215EC" w14:textId="606E7111" w:rsidR="008E09EE" w:rsidRDefault="008E09EE">
      <w:pPr>
        <w:rPr>
          <w:color w:val="FFFFFF" w:themeColor="background1"/>
          <w:sz w:val="72"/>
          <w:szCs w:val="72"/>
        </w:rPr>
        <w:sectPr w:rsidR="008E09EE" w:rsidSect="00A12F0C">
          <w:pgSz w:w="16838" w:h="11906" w:orient="landscape"/>
          <w:pgMar w:top="720" w:right="720" w:bottom="720" w:left="720" w:header="708" w:footer="708" w:gutter="0"/>
          <w:cols w:space="708"/>
          <w:titlePg/>
          <w:docGrid w:linePitch="360"/>
        </w:sectPr>
      </w:pPr>
    </w:p>
    <w:p w14:paraId="4607BED5" w14:textId="77777777" w:rsidR="000C6ABE" w:rsidRDefault="00F648AD" w:rsidP="000C6ABE">
      <w:pPr>
        <w:pStyle w:val="Heading2-report"/>
        <w:rPr>
          <w:color w:val="FFFFFF" w:themeColor="background1"/>
          <w:sz w:val="72"/>
          <w:szCs w:val="72"/>
        </w:rPr>
      </w:pPr>
      <w:r w:rsidRPr="000C6ABE">
        <w:rPr>
          <w:noProof/>
          <w:color w:val="FFFFFF" w:themeColor="background1"/>
          <w:sz w:val="16"/>
          <w:szCs w:val="16"/>
        </w:rPr>
        <w:lastRenderedPageBreak/>
        <mc:AlternateContent>
          <mc:Choice Requires="wps">
            <w:drawing>
              <wp:anchor distT="0" distB="0" distL="114300" distR="114300" simplePos="0" relativeHeight="251658255" behindDoc="1" locked="0" layoutInCell="1" allowOverlap="1" wp14:anchorId="201516BE" wp14:editId="58972049">
                <wp:simplePos x="0" y="0"/>
                <wp:positionH relativeFrom="page">
                  <wp:align>left</wp:align>
                </wp:positionH>
                <wp:positionV relativeFrom="paragraph">
                  <wp:posOffset>-1080135</wp:posOffset>
                </wp:positionV>
                <wp:extent cx="7677150" cy="10834914"/>
                <wp:effectExtent l="0" t="0" r="19050" b="24130"/>
                <wp:wrapNone/>
                <wp:docPr id="61" name="Rectangle 61"/>
                <wp:cNvGraphicFramePr/>
                <a:graphic xmlns:a="http://schemas.openxmlformats.org/drawingml/2006/main">
                  <a:graphicData uri="http://schemas.microsoft.com/office/word/2010/wordprocessingShape">
                    <wps:wsp>
                      <wps:cNvSpPr/>
                      <wps:spPr>
                        <a:xfrm>
                          <a:off x="0" y="0"/>
                          <a:ext cx="7677150" cy="10834914"/>
                        </a:xfrm>
                        <a:prstGeom prst="rect">
                          <a:avLst/>
                        </a:prstGeom>
                        <a:solidFill>
                          <a:srgbClr val="20154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17A7D5B" id="Rectangle 61" o:spid="_x0000_s1026" style="position:absolute;margin-left:0;margin-top:-85.05pt;width:604.5pt;height:853.15pt;z-index:-2516597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" fillcolor="#201547" strokecolor="#1b383a [1604]" strokeweight="1pt">
                <w10:wrap anchorx="page"/>
              </v:rect>
            </w:pict>
          </mc:Fallback>
        </mc:AlternateContent>
      </w:r>
      <w:r w:rsidR="007155A2">
        <w:rPr>
          <w:noProof/>
          <w:color w:val="FFFFFF" w:themeColor="background1"/>
          <w:sz w:val="16"/>
          <w:szCs w:val="16"/>
        </w:rPr>
        <w:drawing>
          <wp:anchor distT="0" distB="0" distL="114300" distR="114300" simplePos="0" relativeHeight="251658256" behindDoc="0" locked="0" layoutInCell="1" allowOverlap="1" wp14:anchorId="50203981" wp14:editId="7DF186D9">
            <wp:simplePos x="0" y="0"/>
            <wp:positionH relativeFrom="column">
              <wp:posOffset>-132715</wp:posOffset>
            </wp:positionH>
            <wp:positionV relativeFrom="paragraph">
              <wp:posOffset>-474716</wp:posOffset>
            </wp:positionV>
            <wp:extent cx="914400" cy="914400"/>
            <wp:effectExtent l="0" t="0" r="0" b="0"/>
            <wp:wrapNone/>
            <wp:docPr id="62" name="Graphic 62"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phic 62" descr="Raised hand with solid fill"/>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914400" cy="914400"/>
                    </a:xfrm>
                    <a:prstGeom prst="rect">
                      <a:avLst/>
                    </a:prstGeom>
                  </pic:spPr>
                </pic:pic>
              </a:graphicData>
            </a:graphic>
          </wp:anchor>
        </w:drawing>
      </w:r>
    </w:p>
    <w:p w14:paraId="3230BBA2" w14:textId="675AB2DC" w:rsidR="000C6ABE" w:rsidRPr="000616E7" w:rsidRDefault="007155A2" w:rsidP="000C6ABE">
      <w:pPr>
        <w:pStyle w:val="Heading2-report"/>
        <w:rPr>
          <w:color w:val="FFFFFF" w:themeColor="background1"/>
          <w:sz w:val="72"/>
          <w:szCs w:val="72"/>
        </w:rPr>
      </w:pPr>
      <w:r>
        <w:rPr>
          <w:color w:val="FFFFFF" w:themeColor="background1"/>
          <w:sz w:val="72"/>
          <w:szCs w:val="72"/>
        </w:rPr>
        <w:t>ENSURING COMPLIANCE WITH HUMAN RIGHTS</w:t>
      </w:r>
    </w:p>
    <w:p w14:paraId="129B0FEB" w14:textId="3B86D36D" w:rsidR="000C6ABE" w:rsidRDefault="007155A2" w:rsidP="007155A2">
      <w:pPr>
        <w:spacing w:before="360"/>
        <w:rPr>
          <w:b/>
          <w:bCs/>
          <w:color w:val="FFFFFF" w:themeColor="background1"/>
          <w:sz w:val="26"/>
          <w:szCs w:val="26"/>
        </w:rPr>
      </w:pPr>
      <w:r>
        <w:rPr>
          <w:b/>
          <w:bCs/>
          <w:color w:val="FFFFFF" w:themeColor="background1"/>
          <w:sz w:val="26"/>
          <w:szCs w:val="26"/>
        </w:rPr>
        <w:t>ON THE IMPORTANCE OF ENSURING ANY RESTRICTIONS ON LIBERTY ARE LAWFUL.</w:t>
      </w:r>
    </w:p>
    <w:p w14:paraId="6B127D14" w14:textId="77777777" w:rsidR="007155A2" w:rsidRDefault="007155A2" w:rsidP="007B434F">
      <w:pPr>
        <w:rPr>
          <w:color w:val="FFFFFF" w:themeColor="background1"/>
        </w:rPr>
      </w:pPr>
    </w:p>
    <w:p w14:paraId="2D03B964" w14:textId="77777777" w:rsidR="006F512B" w:rsidRPr="00C1091A" w:rsidRDefault="007155A2" w:rsidP="007B434F">
      <w:pPr>
        <w:rPr>
          <w:color w:val="FFFFFF" w:themeColor="background1"/>
        </w:rPr>
      </w:pPr>
      <w:r w:rsidRPr="00C1091A">
        <w:rPr>
          <w:color w:val="FFFFFF" w:themeColor="background1"/>
        </w:rPr>
        <w:t xml:space="preserve">Parliament has assessed that both the </w:t>
      </w:r>
      <w:r w:rsidR="007B434F" w:rsidRPr="6D69D0D5">
        <w:rPr>
          <w:i/>
          <w:iCs/>
          <w:color w:val="FFFFFF" w:themeColor="background1"/>
        </w:rPr>
        <w:t>Mental Health Act 2014</w:t>
      </w:r>
      <w:r w:rsidR="007B434F" w:rsidRPr="00C1091A">
        <w:rPr>
          <w:color w:val="FFFFFF" w:themeColor="background1"/>
        </w:rPr>
        <w:t xml:space="preserve"> (Vic</w:t>
      </w:r>
      <w:r w:rsidR="007B434F" w:rsidRPr="004A0E9D">
        <w:rPr>
          <w:color w:val="FFFFFF" w:themeColor="background1"/>
        </w:rPr>
        <w:t>)</w:t>
      </w:r>
      <w:r w:rsidR="007B434F" w:rsidRPr="00790898">
        <w:rPr>
          <w:rStyle w:val="FootnoteReference"/>
          <w:color w:val="FFFFFF" w:themeColor="background1"/>
        </w:rPr>
        <w:footnoteReference w:id="196"/>
      </w:r>
      <w:r w:rsidR="007B434F" w:rsidRPr="004A0E9D">
        <w:rPr>
          <w:color w:val="FFFFFF" w:themeColor="background1"/>
        </w:rPr>
        <w:t xml:space="preserve"> </w:t>
      </w:r>
      <w:r w:rsidR="007B434F" w:rsidRPr="00C1091A">
        <w:rPr>
          <w:color w:val="FFFFFF" w:themeColor="background1"/>
        </w:rPr>
        <w:t xml:space="preserve">and the </w:t>
      </w:r>
      <w:r w:rsidR="007B434F" w:rsidRPr="6D69D0D5">
        <w:rPr>
          <w:i/>
          <w:iCs/>
          <w:color w:val="FFFFFF" w:themeColor="background1"/>
        </w:rPr>
        <w:t xml:space="preserve">Mental Health and Wellbeing Act 2022 </w:t>
      </w:r>
      <w:r w:rsidR="007B434F" w:rsidRPr="00C1091A">
        <w:rPr>
          <w:color w:val="FFFFFF" w:themeColor="background1"/>
        </w:rPr>
        <w:t>(Vic</w:t>
      </w:r>
      <w:r w:rsidR="007B434F" w:rsidRPr="004A0E9D">
        <w:rPr>
          <w:color w:val="FFFFFF" w:themeColor="background1"/>
        </w:rPr>
        <w:t>)</w:t>
      </w:r>
      <w:r w:rsidR="007B434F" w:rsidRPr="00790898">
        <w:rPr>
          <w:rStyle w:val="FootnoteReference"/>
          <w:color w:val="FFFFFF" w:themeColor="background1"/>
        </w:rPr>
        <w:footnoteReference w:id="197"/>
      </w:r>
      <w:r w:rsidRPr="004A0E9D">
        <w:rPr>
          <w:color w:val="FFFFFF" w:themeColor="background1"/>
        </w:rPr>
        <w:t xml:space="preserve"> are </w:t>
      </w:r>
      <w:r w:rsidRPr="00C1091A">
        <w:rPr>
          <w:color w:val="FFFFFF" w:themeColor="background1"/>
        </w:rPr>
        <w:t xml:space="preserve">compatible with </w:t>
      </w:r>
      <w:r w:rsidR="009F520E" w:rsidRPr="00C1091A">
        <w:rPr>
          <w:color w:val="FFFFFF" w:themeColor="background1"/>
        </w:rPr>
        <w:t>human rights set out under the Charter. Section 21(3) of the Charter requires that any restrictions on liberty</w:t>
      </w:r>
      <w:r w:rsidR="00362567" w:rsidRPr="00C1091A">
        <w:rPr>
          <w:color w:val="FFFFFF" w:themeColor="background1"/>
        </w:rPr>
        <w:t xml:space="preserve"> can only be done ‘</w:t>
      </w:r>
      <w:r w:rsidR="009F520E" w:rsidRPr="00C1091A">
        <w:rPr>
          <w:color w:val="FFFFFF" w:themeColor="background1"/>
        </w:rPr>
        <w:t>on grounds, and in accordance with procedures, established by law</w:t>
      </w:r>
      <w:r w:rsidR="00362567" w:rsidRPr="00C1091A">
        <w:rPr>
          <w:color w:val="FFFFFF" w:themeColor="background1"/>
        </w:rPr>
        <w:t>’.</w:t>
      </w:r>
      <w:r w:rsidR="0030124C" w:rsidRPr="00C1091A">
        <w:rPr>
          <w:color w:val="FFFFFF" w:themeColor="background1"/>
        </w:rPr>
        <w:t xml:space="preserve"> </w:t>
      </w:r>
      <w:r w:rsidR="00A364F4" w:rsidRPr="00C1091A">
        <w:rPr>
          <w:color w:val="FFFFFF" w:themeColor="background1"/>
        </w:rPr>
        <w:t xml:space="preserve">This means, for example, that compulsory mental health treatment decisions must be done in accordance with </w:t>
      </w:r>
      <w:r w:rsidR="006F512B" w:rsidRPr="00C1091A">
        <w:rPr>
          <w:color w:val="FFFFFF" w:themeColor="background1"/>
        </w:rPr>
        <w:t xml:space="preserve">mental health laws. </w:t>
      </w:r>
    </w:p>
    <w:p w14:paraId="7FE35B65" w14:textId="6EFDE832" w:rsidR="00AE2740" w:rsidRPr="00C1091A" w:rsidRDefault="006F512B" w:rsidP="007B434F">
      <w:pPr>
        <w:rPr>
          <w:color w:val="FFFFFF" w:themeColor="background1"/>
        </w:rPr>
      </w:pPr>
      <w:r w:rsidRPr="00C1091A">
        <w:rPr>
          <w:color w:val="FFFFFF" w:themeColor="background1"/>
        </w:rPr>
        <w:t xml:space="preserve">Both 2014 and the 2022 </w:t>
      </w:r>
      <w:r w:rsidR="00AE2740" w:rsidRPr="00C1091A">
        <w:rPr>
          <w:color w:val="FFFFFF" w:themeColor="background1"/>
        </w:rPr>
        <w:t>Victorian mental health laws contain provisions that the authorised psychiatrist</w:t>
      </w:r>
      <w:r w:rsidR="00245D38" w:rsidRPr="00C1091A">
        <w:rPr>
          <w:color w:val="FFFFFF" w:themeColor="background1"/>
        </w:rPr>
        <w:t xml:space="preserve"> must</w:t>
      </w:r>
      <w:r w:rsidR="00AE2740" w:rsidRPr="00C1091A">
        <w:rPr>
          <w:color w:val="FFFFFF" w:themeColor="background1"/>
        </w:rPr>
        <w:t>:</w:t>
      </w:r>
    </w:p>
    <w:p w14:paraId="1323BF72" w14:textId="655D2D21" w:rsidR="007155A2" w:rsidRPr="00C1091A" w:rsidRDefault="00AE2740" w:rsidP="00E225B4">
      <w:pPr>
        <w:pStyle w:val="ListParagraph"/>
        <w:numPr>
          <w:ilvl w:val="0"/>
          <w:numId w:val="37"/>
        </w:numPr>
        <w:rPr>
          <w:color w:val="FFFFFF" w:themeColor="background1"/>
        </w:rPr>
      </w:pPr>
      <w:r w:rsidRPr="00C1091A">
        <w:rPr>
          <w:color w:val="FFFFFF" w:themeColor="background1"/>
        </w:rPr>
        <w:t xml:space="preserve">Presume that a person has capacity to </w:t>
      </w:r>
      <w:r w:rsidR="00297429" w:rsidRPr="00C1091A">
        <w:rPr>
          <w:color w:val="FFFFFF" w:themeColor="background1"/>
        </w:rPr>
        <w:t xml:space="preserve">give informed </w:t>
      </w:r>
      <w:r w:rsidR="0043144A" w:rsidRPr="00C1091A">
        <w:rPr>
          <w:color w:val="FFFFFF" w:themeColor="background1"/>
        </w:rPr>
        <w:t>consent and</w:t>
      </w:r>
      <w:r w:rsidR="00E524F8" w:rsidRPr="00C1091A">
        <w:rPr>
          <w:color w:val="FFFFFF" w:themeColor="background1"/>
        </w:rPr>
        <w:t xml:space="preserve"> undertake a capacity assessment if the clinician is in doubt</w:t>
      </w:r>
      <w:r w:rsidR="0043144A" w:rsidRPr="00C1091A">
        <w:rPr>
          <w:color w:val="FFFFFF" w:themeColor="background1"/>
        </w:rPr>
        <w:t>.</w:t>
      </w:r>
    </w:p>
    <w:p w14:paraId="3147A80E" w14:textId="753C4478" w:rsidR="00297429" w:rsidRPr="00C1091A" w:rsidRDefault="00E524F8" w:rsidP="00E225B4">
      <w:pPr>
        <w:pStyle w:val="ListParagraph"/>
        <w:numPr>
          <w:ilvl w:val="0"/>
          <w:numId w:val="37"/>
        </w:numPr>
        <w:rPr>
          <w:color w:val="FFFFFF" w:themeColor="background1"/>
        </w:rPr>
      </w:pPr>
      <w:r w:rsidRPr="00C1091A">
        <w:rPr>
          <w:color w:val="FFFFFF" w:themeColor="background1"/>
        </w:rPr>
        <w:t xml:space="preserve">Follow procedures to </w:t>
      </w:r>
      <w:r w:rsidR="003F7C31" w:rsidRPr="00C1091A">
        <w:rPr>
          <w:color w:val="FFFFFF" w:themeColor="background1"/>
        </w:rPr>
        <w:t>provide the person with adequate information</w:t>
      </w:r>
      <w:r w:rsidR="0043144A" w:rsidRPr="00C1091A">
        <w:rPr>
          <w:color w:val="FFFFFF" w:themeColor="background1"/>
        </w:rPr>
        <w:t xml:space="preserve"> to make an informed decision</w:t>
      </w:r>
      <w:r w:rsidR="003F7C31" w:rsidRPr="00C1091A">
        <w:rPr>
          <w:color w:val="FFFFFF" w:themeColor="background1"/>
        </w:rPr>
        <w:t>, a reasonable opportunity to consider their decision about informed consent,</w:t>
      </w:r>
      <w:r w:rsidR="0043144A" w:rsidRPr="00C1091A">
        <w:rPr>
          <w:color w:val="FFFFFF" w:themeColor="background1"/>
        </w:rPr>
        <w:t xml:space="preserve"> and</w:t>
      </w:r>
      <w:r w:rsidR="003F7C31" w:rsidRPr="00C1091A">
        <w:rPr>
          <w:color w:val="FFFFFF" w:themeColor="background1"/>
        </w:rPr>
        <w:t xml:space="preserve"> </w:t>
      </w:r>
      <w:r w:rsidR="0043144A" w:rsidRPr="00C1091A">
        <w:rPr>
          <w:color w:val="FFFFFF" w:themeColor="background1"/>
        </w:rPr>
        <w:t>to do so free of undue pressure or coercion.</w:t>
      </w:r>
    </w:p>
    <w:p w14:paraId="1BE6523B" w14:textId="7143E994" w:rsidR="009959F1" w:rsidRPr="00C1091A" w:rsidRDefault="009644CB" w:rsidP="00E225B4">
      <w:pPr>
        <w:pStyle w:val="ListParagraph"/>
        <w:numPr>
          <w:ilvl w:val="0"/>
          <w:numId w:val="37"/>
        </w:numPr>
        <w:rPr>
          <w:color w:val="FFFFFF" w:themeColor="background1"/>
        </w:rPr>
      </w:pPr>
      <w:r w:rsidRPr="00C1091A">
        <w:rPr>
          <w:color w:val="FFFFFF" w:themeColor="background1"/>
        </w:rPr>
        <w:t xml:space="preserve">Only override </w:t>
      </w:r>
      <w:r w:rsidR="00245D38" w:rsidRPr="00C1091A">
        <w:rPr>
          <w:color w:val="FFFFFF" w:themeColor="background1"/>
        </w:rPr>
        <w:t xml:space="preserve">a refusal of informed consent if </w:t>
      </w:r>
      <w:r w:rsidR="00055F25" w:rsidRPr="00C1091A">
        <w:rPr>
          <w:color w:val="FFFFFF" w:themeColor="background1"/>
        </w:rPr>
        <w:t>that particular treatment</w:t>
      </w:r>
      <w:r w:rsidR="00245D38" w:rsidRPr="00C1091A">
        <w:rPr>
          <w:color w:val="FFFFFF" w:themeColor="background1"/>
        </w:rPr>
        <w:t xml:space="preserve"> is the least restrictive treatment possible to treat the person.</w:t>
      </w:r>
      <w:r w:rsidR="007B434F" w:rsidRPr="00790898">
        <w:rPr>
          <w:rStyle w:val="FootnoteReference"/>
          <w:color w:val="FFFFFF" w:themeColor="background1"/>
        </w:rPr>
        <w:footnoteReference w:id="198"/>
      </w:r>
      <w:r w:rsidR="007B434F" w:rsidRPr="004A0E9D">
        <w:rPr>
          <w:color w:val="FFFFFF" w:themeColor="background1"/>
        </w:rPr>
        <w:t xml:space="preserve"> </w:t>
      </w:r>
    </w:p>
    <w:p w14:paraId="702321D7" w14:textId="7AD95938" w:rsidR="009959F1" w:rsidRPr="00C1091A" w:rsidRDefault="009959F1" w:rsidP="009959F1">
      <w:pPr>
        <w:rPr>
          <w:color w:val="FFFFFF" w:themeColor="background1"/>
        </w:rPr>
      </w:pPr>
      <w:r w:rsidRPr="00C1091A">
        <w:rPr>
          <w:color w:val="FFFFFF" w:themeColor="background1"/>
        </w:rPr>
        <w:t xml:space="preserve">There are many other provisions relating to the use of restrictive practices and how they must be performed </w:t>
      </w:r>
      <w:r w:rsidR="004B660C" w:rsidRPr="00C1091A">
        <w:rPr>
          <w:color w:val="FFFFFF" w:themeColor="background1"/>
        </w:rPr>
        <w:t>to</w:t>
      </w:r>
      <w:r w:rsidRPr="00C1091A">
        <w:rPr>
          <w:color w:val="FFFFFF" w:themeColor="background1"/>
        </w:rPr>
        <w:t xml:space="preserve"> be lawful under either </w:t>
      </w:r>
      <w:r w:rsidR="003768FF" w:rsidRPr="00C1091A">
        <w:rPr>
          <w:color w:val="FFFFFF" w:themeColor="background1"/>
        </w:rPr>
        <w:t>piece</w:t>
      </w:r>
      <w:r w:rsidRPr="00C1091A">
        <w:rPr>
          <w:color w:val="FFFFFF" w:themeColor="background1"/>
        </w:rPr>
        <w:t xml:space="preserve"> of legislation.</w:t>
      </w:r>
      <w:r w:rsidR="00BA3B00" w:rsidRPr="00790898">
        <w:rPr>
          <w:rStyle w:val="FootnoteReference"/>
          <w:color w:val="FFFFFF" w:themeColor="background1"/>
        </w:rPr>
        <w:footnoteReference w:id="199"/>
      </w:r>
    </w:p>
    <w:p w14:paraId="209C1617" w14:textId="233CEE38" w:rsidR="003768FF" w:rsidRPr="00C1091A" w:rsidRDefault="003768FF" w:rsidP="009959F1">
      <w:pPr>
        <w:rPr>
          <w:color w:val="FFFFFF" w:themeColor="background1"/>
        </w:rPr>
      </w:pPr>
      <w:r w:rsidRPr="00C1091A">
        <w:rPr>
          <w:color w:val="FFFFFF" w:themeColor="background1"/>
        </w:rPr>
        <w:t xml:space="preserve">Unfortunately, there are significant compliance issues. </w:t>
      </w:r>
      <w:r w:rsidR="005849B2" w:rsidRPr="00C1091A">
        <w:rPr>
          <w:color w:val="FFFFFF" w:themeColor="background1"/>
        </w:rPr>
        <w:t xml:space="preserve">For example, </w:t>
      </w:r>
      <w:r w:rsidR="00C1091A">
        <w:rPr>
          <w:color w:val="FFFFFF" w:themeColor="background1"/>
        </w:rPr>
        <w:t>evidence suggests</w:t>
      </w:r>
      <w:r w:rsidR="005849B2" w:rsidRPr="00C1091A">
        <w:rPr>
          <w:color w:val="FFFFFF" w:themeColor="background1"/>
        </w:rPr>
        <w:t>:</w:t>
      </w:r>
    </w:p>
    <w:p w14:paraId="246B217A" w14:textId="661CDDF5" w:rsidR="005849B2" w:rsidRPr="00C1091A" w:rsidRDefault="001E21A5" w:rsidP="00E225B4">
      <w:pPr>
        <w:pStyle w:val="ListParagraph"/>
        <w:numPr>
          <w:ilvl w:val="0"/>
          <w:numId w:val="38"/>
        </w:numPr>
        <w:rPr>
          <w:color w:val="FFFFFF" w:themeColor="background1"/>
        </w:rPr>
      </w:pPr>
      <w:r w:rsidRPr="00C1091A">
        <w:rPr>
          <w:color w:val="FFFFFF" w:themeColor="background1"/>
        </w:rPr>
        <w:t>R</w:t>
      </w:r>
      <w:r w:rsidR="005849B2" w:rsidRPr="00C1091A">
        <w:rPr>
          <w:color w:val="FFFFFF" w:themeColor="background1"/>
        </w:rPr>
        <w:t>egular breaches of informed consent provisions</w:t>
      </w:r>
      <w:r w:rsidR="00D0149F" w:rsidRPr="00C1091A">
        <w:rPr>
          <w:color w:val="FFFFFF" w:themeColor="background1"/>
        </w:rPr>
        <w:t>,</w:t>
      </w:r>
      <w:r w:rsidR="00051CB0" w:rsidRPr="00790898">
        <w:rPr>
          <w:rStyle w:val="FootnoteReference"/>
          <w:color w:val="FFFFFF" w:themeColor="background1"/>
        </w:rPr>
        <w:footnoteReference w:id="200"/>
      </w:r>
      <w:r w:rsidR="00D0149F" w:rsidRPr="004A0E9D">
        <w:rPr>
          <w:color w:val="FFFFFF" w:themeColor="background1"/>
        </w:rPr>
        <w:t xml:space="preserve"> </w:t>
      </w:r>
      <w:r w:rsidR="00D0149F" w:rsidRPr="00C1091A">
        <w:rPr>
          <w:color w:val="FFFFFF" w:themeColor="background1"/>
        </w:rPr>
        <w:t>including reflections from the Royal Commission that authorised psychiatrists may not consider these duties when making treatment decision</w:t>
      </w:r>
      <w:r w:rsidR="00D0149F" w:rsidRPr="004A0E9D">
        <w:rPr>
          <w:color w:val="FFFFFF" w:themeColor="background1"/>
        </w:rPr>
        <w:t>s.</w:t>
      </w:r>
      <w:r w:rsidR="00D0149F" w:rsidRPr="00790898">
        <w:rPr>
          <w:rStyle w:val="FootnoteReference"/>
          <w:color w:val="FFFFFF" w:themeColor="background1"/>
        </w:rPr>
        <w:footnoteReference w:id="201"/>
      </w:r>
    </w:p>
    <w:p w14:paraId="6F912C72" w14:textId="7C7BFA5C" w:rsidR="00051CB0" w:rsidRPr="00C1091A" w:rsidRDefault="00C1091A" w:rsidP="00E225B4">
      <w:pPr>
        <w:pStyle w:val="ListParagraph"/>
        <w:numPr>
          <w:ilvl w:val="0"/>
          <w:numId w:val="38"/>
        </w:numPr>
        <w:rPr>
          <w:color w:val="FFFFFF" w:themeColor="background1"/>
        </w:rPr>
      </w:pPr>
      <w:r w:rsidRPr="00C1091A">
        <w:rPr>
          <w:noProof/>
          <w:color w:val="FFFFFF" w:themeColor="background1"/>
          <w:sz w:val="16"/>
          <w:szCs w:val="16"/>
        </w:rPr>
        <w:lastRenderedPageBreak/>
        <mc:AlternateContent>
          <mc:Choice Requires="wps">
            <w:drawing>
              <wp:anchor distT="0" distB="0" distL="114300" distR="114300" simplePos="0" relativeHeight="251658258" behindDoc="1" locked="0" layoutInCell="1" allowOverlap="1" wp14:anchorId="05713B96" wp14:editId="4FD313E9">
                <wp:simplePos x="0" y="0"/>
                <wp:positionH relativeFrom="margin">
                  <wp:posOffset>-1163667</wp:posOffset>
                </wp:positionH>
                <wp:positionV relativeFrom="paragraph">
                  <wp:posOffset>-983673</wp:posOffset>
                </wp:positionV>
                <wp:extent cx="8215745" cy="10817525"/>
                <wp:effectExtent l="0" t="0" r="13970" b="22225"/>
                <wp:wrapNone/>
                <wp:docPr id="63" name="Rectangle 63"/>
                <wp:cNvGraphicFramePr/>
                <a:graphic xmlns:a="http://schemas.openxmlformats.org/drawingml/2006/main">
                  <a:graphicData uri="http://schemas.microsoft.com/office/word/2010/wordprocessingShape">
                    <wps:wsp>
                      <wps:cNvSpPr/>
                      <wps:spPr>
                        <a:xfrm>
                          <a:off x="0" y="0"/>
                          <a:ext cx="8215745" cy="10817525"/>
                        </a:xfrm>
                        <a:prstGeom prst="rect">
                          <a:avLst/>
                        </a:prstGeom>
                        <a:solidFill>
                          <a:srgbClr val="20154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B13C305" id="Rectangle 63" o:spid="_x0000_s1026" style="position:absolute;margin-left:-91.65pt;margin-top:-77.45pt;width:646.9pt;height:851.75pt;z-index:-2516582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" fillcolor="#201547" strokecolor="#1b383a [1604]" strokeweight="1pt">
                <w10:wrap anchorx="margin"/>
              </v:rect>
            </w:pict>
          </mc:Fallback>
        </mc:AlternateContent>
      </w:r>
      <w:r w:rsidR="002A4D70" w:rsidRPr="00C1091A">
        <w:rPr>
          <w:color w:val="FFFFFF" w:themeColor="background1"/>
        </w:rPr>
        <w:t>A significant proportion of restrictive practices performed</w:t>
      </w:r>
      <w:r w:rsidR="0094748D" w:rsidRPr="00C1091A">
        <w:rPr>
          <w:color w:val="FFFFFF" w:themeColor="background1"/>
        </w:rPr>
        <w:t xml:space="preserve"> outside the regulations of the </w:t>
      </w:r>
      <w:r w:rsidR="0094748D" w:rsidRPr="6D69D0D5">
        <w:rPr>
          <w:i/>
          <w:iCs/>
          <w:color w:val="FFFFFF" w:themeColor="background1"/>
        </w:rPr>
        <w:t xml:space="preserve">Mental Health Act 2014 </w:t>
      </w:r>
      <w:r w:rsidR="0094748D" w:rsidRPr="00C1091A">
        <w:rPr>
          <w:color w:val="FFFFFF" w:themeColor="background1"/>
        </w:rPr>
        <w:t>(Vic)</w:t>
      </w:r>
      <w:r w:rsidR="0094748D" w:rsidRPr="00636C85">
        <w:rPr>
          <w:color w:val="FFFFFF" w:themeColor="background1"/>
        </w:rPr>
        <w:t>.</w:t>
      </w:r>
      <w:r w:rsidR="0094748D" w:rsidRPr="00790898">
        <w:rPr>
          <w:rStyle w:val="FootnoteReference"/>
          <w:color w:val="FFFFFF" w:themeColor="background1"/>
        </w:rPr>
        <w:footnoteReference w:id="202"/>
      </w:r>
    </w:p>
    <w:p w14:paraId="252D644B" w14:textId="5E0DEE99" w:rsidR="0094748D" w:rsidRPr="00C1091A" w:rsidRDefault="002A4D70" w:rsidP="00E225B4">
      <w:pPr>
        <w:pStyle w:val="ListParagraph"/>
        <w:numPr>
          <w:ilvl w:val="0"/>
          <w:numId w:val="38"/>
        </w:numPr>
        <w:rPr>
          <w:color w:val="FFFFFF" w:themeColor="background1"/>
        </w:rPr>
      </w:pPr>
      <w:r w:rsidRPr="00C1091A">
        <w:rPr>
          <w:color w:val="FFFFFF" w:themeColor="background1"/>
        </w:rPr>
        <w:t>Evidence of misconceptions about the law</w:t>
      </w:r>
      <w:r w:rsidRPr="00636C85">
        <w:rPr>
          <w:color w:val="FFFFFF" w:themeColor="background1"/>
        </w:rPr>
        <w:t>,</w:t>
      </w:r>
      <w:r w:rsidR="004368E4" w:rsidRPr="00790898">
        <w:rPr>
          <w:rStyle w:val="FootnoteReference"/>
          <w:color w:val="FFFFFF" w:themeColor="background1"/>
        </w:rPr>
        <w:footnoteReference w:id="203"/>
      </w:r>
      <w:r w:rsidRPr="00636C85">
        <w:rPr>
          <w:color w:val="FFFFFF" w:themeColor="background1"/>
        </w:rPr>
        <w:t xml:space="preserve"> particularly </w:t>
      </w:r>
      <w:r w:rsidRPr="00C1091A">
        <w:rPr>
          <w:color w:val="FFFFFF" w:themeColor="background1"/>
        </w:rPr>
        <w:t xml:space="preserve">relating to </w:t>
      </w:r>
      <w:r w:rsidR="00E90001" w:rsidRPr="00C1091A">
        <w:rPr>
          <w:color w:val="FFFFFF" w:themeColor="background1"/>
        </w:rPr>
        <w:t>how mental health clinicians misunderstand the application of their</w:t>
      </w:r>
      <w:r w:rsidRPr="00C1091A">
        <w:rPr>
          <w:color w:val="FFFFFF" w:themeColor="background1"/>
        </w:rPr>
        <w:t xml:space="preserve"> ‘duty of care’</w:t>
      </w:r>
      <w:r w:rsidR="000F3B5B" w:rsidRPr="00C1091A">
        <w:rPr>
          <w:color w:val="FFFFFF" w:themeColor="background1"/>
        </w:rPr>
        <w:t>, possibly</w:t>
      </w:r>
      <w:r w:rsidR="000E5FBD" w:rsidRPr="00C1091A">
        <w:rPr>
          <w:color w:val="FFFFFF" w:themeColor="background1"/>
        </w:rPr>
        <w:t xml:space="preserve"> rendering </w:t>
      </w:r>
      <w:r w:rsidR="000F3B5B" w:rsidRPr="00C1091A">
        <w:rPr>
          <w:color w:val="FFFFFF" w:themeColor="background1"/>
        </w:rPr>
        <w:t>their actions</w:t>
      </w:r>
      <w:r w:rsidR="000E5FBD" w:rsidRPr="00C1091A">
        <w:rPr>
          <w:color w:val="FFFFFF" w:themeColor="background1"/>
        </w:rPr>
        <w:t xml:space="preserve"> unlawful.</w:t>
      </w:r>
      <w:r w:rsidR="004368E4" w:rsidRPr="00790898">
        <w:rPr>
          <w:rStyle w:val="FootnoteReference"/>
          <w:color w:val="FFFFFF" w:themeColor="background1"/>
        </w:rPr>
        <w:footnoteReference w:id="204"/>
      </w:r>
    </w:p>
    <w:p w14:paraId="0A750544" w14:textId="0190B9C3" w:rsidR="004368E4" w:rsidRPr="00D90B7B" w:rsidRDefault="004368E4" w:rsidP="00E225B4">
      <w:pPr>
        <w:pStyle w:val="ListParagraph"/>
        <w:numPr>
          <w:ilvl w:val="0"/>
          <w:numId w:val="38"/>
        </w:numPr>
        <w:rPr>
          <w:color w:val="FFFFFF" w:themeColor="background1"/>
        </w:rPr>
      </w:pPr>
      <w:r w:rsidRPr="00C1091A">
        <w:rPr>
          <w:color w:val="FFFFFF" w:themeColor="background1"/>
        </w:rPr>
        <w:t xml:space="preserve">There are also mixed perceptions amongst clinicians about the value of rights-based </w:t>
      </w:r>
      <w:r w:rsidRPr="00D90B7B">
        <w:rPr>
          <w:color w:val="FFFFFF" w:themeColor="background1"/>
        </w:rPr>
        <w:t>protections within mental health laws.</w:t>
      </w:r>
      <w:r w:rsidR="00194735" w:rsidRPr="00790898">
        <w:rPr>
          <w:rStyle w:val="FootnoteReference"/>
          <w:color w:val="FFFFFF" w:themeColor="background1"/>
        </w:rPr>
        <w:footnoteReference w:id="205"/>
      </w:r>
    </w:p>
    <w:p w14:paraId="3BFD7502" w14:textId="578C9040" w:rsidR="00F96276" w:rsidRPr="00D90B7B" w:rsidRDefault="00F96276" w:rsidP="007B434F">
      <w:pPr>
        <w:rPr>
          <w:color w:val="FFFFFF" w:themeColor="background1"/>
        </w:rPr>
      </w:pPr>
      <w:r w:rsidRPr="00D90B7B">
        <w:rPr>
          <w:color w:val="FFFFFF" w:themeColor="background1"/>
        </w:rPr>
        <w:t xml:space="preserve">These circumstances </w:t>
      </w:r>
      <w:r w:rsidR="00AD42AF" w:rsidRPr="00D90B7B">
        <w:rPr>
          <w:color w:val="FFFFFF" w:themeColor="background1"/>
        </w:rPr>
        <w:t xml:space="preserve">should </w:t>
      </w:r>
      <w:r w:rsidRPr="00D90B7B">
        <w:rPr>
          <w:color w:val="FFFFFF" w:themeColor="background1"/>
        </w:rPr>
        <w:t xml:space="preserve">prompt the </w:t>
      </w:r>
      <w:r w:rsidR="001341D2">
        <w:rPr>
          <w:color w:val="FFFFFF" w:themeColor="background1"/>
        </w:rPr>
        <w:t>D</w:t>
      </w:r>
      <w:r w:rsidRPr="00D90B7B">
        <w:rPr>
          <w:color w:val="FFFFFF" w:themeColor="background1"/>
        </w:rPr>
        <w:t xml:space="preserve">ivision to </w:t>
      </w:r>
      <w:r w:rsidR="001341D2">
        <w:rPr>
          <w:color w:val="FFFFFF" w:themeColor="background1"/>
        </w:rPr>
        <w:t xml:space="preserve">consider in their </w:t>
      </w:r>
      <w:r w:rsidRPr="00D90B7B">
        <w:rPr>
          <w:color w:val="FFFFFF" w:themeColor="background1"/>
        </w:rPr>
        <w:t>forecast whether there will be compliance issues with laws and procedures in existing and new services</w:t>
      </w:r>
      <w:r w:rsidR="000D5BCB" w:rsidRPr="00D90B7B">
        <w:rPr>
          <w:color w:val="FFFFFF" w:themeColor="background1"/>
        </w:rPr>
        <w:t xml:space="preserve"> within the reform agenda. Some ways to address th</w:t>
      </w:r>
      <w:r w:rsidR="00BF3411" w:rsidRPr="00D90B7B">
        <w:rPr>
          <w:color w:val="FFFFFF" w:themeColor="background1"/>
        </w:rPr>
        <w:t>e risks of non-compliance with the law (and therefore human rights breach</w:t>
      </w:r>
      <w:r w:rsidR="008F16C0" w:rsidRPr="00D90B7B">
        <w:rPr>
          <w:color w:val="FFFFFF" w:themeColor="background1"/>
        </w:rPr>
        <w:t>es</w:t>
      </w:r>
      <w:r w:rsidR="00BF3411" w:rsidRPr="00D90B7B">
        <w:rPr>
          <w:color w:val="FFFFFF" w:themeColor="background1"/>
        </w:rPr>
        <w:t>)</w:t>
      </w:r>
      <w:r w:rsidR="000D5BCB" w:rsidRPr="00D90B7B">
        <w:rPr>
          <w:color w:val="FFFFFF" w:themeColor="background1"/>
        </w:rPr>
        <w:t xml:space="preserve"> are:</w:t>
      </w:r>
    </w:p>
    <w:p w14:paraId="78C1962B" w14:textId="3D494418" w:rsidR="000D32E5" w:rsidRPr="00D90B7B" w:rsidRDefault="000D32E5" w:rsidP="00E225B4">
      <w:pPr>
        <w:pStyle w:val="ListParagraph"/>
        <w:numPr>
          <w:ilvl w:val="0"/>
          <w:numId w:val="39"/>
        </w:numPr>
        <w:rPr>
          <w:color w:val="FFFFFF" w:themeColor="background1"/>
        </w:rPr>
      </w:pPr>
      <w:r w:rsidRPr="00D90B7B">
        <w:rPr>
          <w:color w:val="FFFFFF" w:themeColor="background1"/>
        </w:rPr>
        <w:t>Try</w:t>
      </w:r>
      <w:r w:rsidR="002D06A9" w:rsidRPr="00D90B7B">
        <w:rPr>
          <w:color w:val="FFFFFF" w:themeColor="background1"/>
        </w:rPr>
        <w:t>ing</w:t>
      </w:r>
      <w:r w:rsidRPr="00D90B7B">
        <w:rPr>
          <w:color w:val="FFFFFF" w:themeColor="background1"/>
        </w:rPr>
        <w:t xml:space="preserve"> to understand the distinct postures – some positive, some negative, some neutral – that public mental health services have regarding their duties, and employ tailored responses</w:t>
      </w:r>
      <w:r w:rsidR="000E1887" w:rsidRPr="00D90B7B">
        <w:rPr>
          <w:color w:val="FFFFFF" w:themeColor="background1"/>
        </w:rPr>
        <w:t xml:space="preserve"> that best match those postures</w:t>
      </w:r>
      <w:r w:rsidR="000976BB" w:rsidRPr="00636C85">
        <w:rPr>
          <w:color w:val="FFFFFF" w:themeColor="background1"/>
        </w:rPr>
        <w:t>.</w:t>
      </w:r>
      <w:r w:rsidRPr="00790898">
        <w:rPr>
          <w:rStyle w:val="FootnoteReference"/>
          <w:color w:val="FFFFFF" w:themeColor="background1"/>
        </w:rPr>
        <w:footnoteReference w:id="206"/>
      </w:r>
    </w:p>
    <w:p w14:paraId="325459E8" w14:textId="643E486B" w:rsidR="000D5BCB" w:rsidRPr="00D90B7B" w:rsidRDefault="000D5BCB" w:rsidP="00E225B4">
      <w:pPr>
        <w:pStyle w:val="ListParagraph"/>
        <w:numPr>
          <w:ilvl w:val="0"/>
          <w:numId w:val="39"/>
        </w:numPr>
        <w:rPr>
          <w:color w:val="FFFFFF" w:themeColor="background1"/>
        </w:rPr>
      </w:pPr>
      <w:r w:rsidRPr="00D90B7B">
        <w:rPr>
          <w:color w:val="FFFFFF" w:themeColor="background1"/>
        </w:rPr>
        <w:t xml:space="preserve">Ensuring training and development </w:t>
      </w:r>
      <w:r w:rsidR="00B8625B" w:rsidRPr="00D90B7B">
        <w:rPr>
          <w:color w:val="FFFFFF" w:themeColor="background1"/>
        </w:rPr>
        <w:t>accompanies new service models, particularly training on human rights, supported decision-making and other standards such as those surrounding cultural safety</w:t>
      </w:r>
      <w:r w:rsidR="000976BB" w:rsidRPr="00D90B7B">
        <w:rPr>
          <w:color w:val="FFFFFF" w:themeColor="background1"/>
        </w:rPr>
        <w:t>.</w:t>
      </w:r>
    </w:p>
    <w:p w14:paraId="3D0D1DA4" w14:textId="6F9FC748" w:rsidR="00072BFB" w:rsidRPr="00D90B7B" w:rsidRDefault="00072BFB" w:rsidP="00E225B4">
      <w:pPr>
        <w:pStyle w:val="ListParagraph"/>
        <w:numPr>
          <w:ilvl w:val="0"/>
          <w:numId w:val="39"/>
        </w:numPr>
        <w:rPr>
          <w:color w:val="FFFFFF" w:themeColor="background1"/>
        </w:rPr>
      </w:pPr>
      <w:r w:rsidRPr="00D90B7B">
        <w:rPr>
          <w:color w:val="FFFFFF" w:themeColor="background1"/>
        </w:rPr>
        <w:t>Embedding reporting requirements on compliance with laws in new and existing processes, such as will be done regarding new commissioning processes</w:t>
      </w:r>
      <w:r w:rsidR="000976BB" w:rsidRPr="00D90B7B">
        <w:rPr>
          <w:color w:val="FFFFFF" w:themeColor="background1"/>
        </w:rPr>
        <w:t>.</w:t>
      </w:r>
      <w:r w:rsidRPr="00790898">
        <w:rPr>
          <w:rStyle w:val="FootnoteReference"/>
          <w:color w:val="FFFFFF" w:themeColor="background1"/>
        </w:rPr>
        <w:footnoteReference w:id="207"/>
      </w:r>
    </w:p>
    <w:p w14:paraId="411098AA" w14:textId="71DAE96C" w:rsidR="00D9050B" w:rsidRPr="00D90B7B" w:rsidRDefault="00AD2511" w:rsidP="00E225B4">
      <w:pPr>
        <w:pStyle w:val="ListParagraph"/>
        <w:numPr>
          <w:ilvl w:val="0"/>
          <w:numId w:val="39"/>
        </w:numPr>
        <w:rPr>
          <w:color w:val="FFFFFF" w:themeColor="background1"/>
        </w:rPr>
      </w:pPr>
      <w:r w:rsidRPr="00D90B7B">
        <w:rPr>
          <w:color w:val="FFFFFF" w:themeColor="background1"/>
        </w:rPr>
        <w:t xml:space="preserve">Ensuring regulators have clear objectives to protect human rights, are responsive to the distinct posture and behaviour of each mental health </w:t>
      </w:r>
      <w:r w:rsidR="00170606">
        <w:rPr>
          <w:color w:val="FFFFFF" w:themeColor="background1"/>
        </w:rPr>
        <w:t xml:space="preserve">and wellbeing </w:t>
      </w:r>
      <w:r w:rsidRPr="00D90B7B">
        <w:rPr>
          <w:color w:val="FFFFFF" w:themeColor="background1"/>
        </w:rPr>
        <w:t>service, apply a risk-based approach, commit to credible enforcement, enable third-party participation in regulation, and explicitly balance power relations between parties to the regulatory process</w:t>
      </w:r>
      <w:r w:rsidRPr="00636C85">
        <w:rPr>
          <w:color w:val="FFFFFF" w:themeColor="background1"/>
        </w:rPr>
        <w:t>.</w:t>
      </w:r>
      <w:r w:rsidRPr="00790898">
        <w:rPr>
          <w:rStyle w:val="FootnoteReference"/>
          <w:color w:val="FFFFFF" w:themeColor="background1"/>
        </w:rPr>
        <w:footnoteReference w:id="208"/>
      </w:r>
    </w:p>
    <w:p w14:paraId="0362C823" w14:textId="30194280" w:rsidR="00B0597C" w:rsidRPr="00D90B7B" w:rsidRDefault="000E1887" w:rsidP="00E225B4">
      <w:pPr>
        <w:pStyle w:val="ListParagraph"/>
        <w:numPr>
          <w:ilvl w:val="0"/>
          <w:numId w:val="39"/>
        </w:numPr>
        <w:rPr>
          <w:color w:val="FFFFFF" w:themeColor="background1"/>
        </w:rPr>
      </w:pPr>
      <w:r w:rsidRPr="00D90B7B">
        <w:rPr>
          <w:color w:val="FFFFFF" w:themeColor="background1"/>
        </w:rPr>
        <w:t>Be clear on messaging, such as the intention of laws, the requirement to comply with them, and the capability supports you are providing to enable that compliance.</w:t>
      </w:r>
    </w:p>
    <w:p w14:paraId="0E60285F" w14:textId="77777777" w:rsidR="00C1091A" w:rsidRPr="00D90B7B" w:rsidRDefault="00C1091A">
      <w:pPr>
        <w:rPr>
          <w:b/>
          <w:bCs/>
          <w:color w:val="FFFFFF" w:themeColor="background1"/>
          <w:sz w:val="36"/>
          <w:szCs w:val="36"/>
        </w:rPr>
      </w:pPr>
      <w:r w:rsidRPr="00D90B7B">
        <w:rPr>
          <w:color w:val="FFFFFF" w:themeColor="background1"/>
        </w:rPr>
        <w:br w:type="page"/>
      </w:r>
    </w:p>
    <w:p w14:paraId="372A077E" w14:textId="03FDCD63" w:rsidR="00A9204B" w:rsidRDefault="002976ED" w:rsidP="004D3D41">
      <w:pPr>
        <w:pStyle w:val="Heading1-report"/>
        <w:ind w:left="1080"/>
      </w:pPr>
      <w:r>
        <w:rPr>
          <w:noProof/>
        </w:rPr>
        <w:lastRenderedPageBreak/>
        <w:drawing>
          <wp:anchor distT="0" distB="0" distL="114300" distR="114300" simplePos="0" relativeHeight="251658284" behindDoc="0" locked="0" layoutInCell="1" allowOverlap="1" wp14:anchorId="6E7A1789" wp14:editId="3209742F">
            <wp:simplePos x="0" y="0"/>
            <wp:positionH relativeFrom="margin">
              <wp:align>left</wp:align>
            </wp:positionH>
            <wp:positionV relativeFrom="paragraph">
              <wp:posOffset>6814</wp:posOffset>
            </wp:positionV>
            <wp:extent cx="560614" cy="560614"/>
            <wp:effectExtent l="0" t="0" r="0" b="0"/>
            <wp:wrapNone/>
            <wp:docPr id="225" name="Picture 225" descr="Shield with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descr="Shield with tick"/>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60614" cy="5606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091A">
        <w:rPr>
          <w:noProof/>
        </w:rPr>
        <mc:AlternateContent>
          <mc:Choice Requires="wps">
            <w:drawing>
              <wp:anchor distT="45720" distB="45720" distL="114300" distR="114300" simplePos="0" relativeHeight="251658302" behindDoc="0" locked="0" layoutInCell="1" allowOverlap="1" wp14:anchorId="1B6CB0DC" wp14:editId="0C0D6630">
                <wp:simplePos x="0" y="0"/>
                <wp:positionH relativeFrom="margin">
                  <wp:align>right</wp:align>
                </wp:positionH>
                <wp:positionV relativeFrom="paragraph">
                  <wp:posOffset>836930</wp:posOffset>
                </wp:positionV>
                <wp:extent cx="5735320" cy="1404620"/>
                <wp:effectExtent l="0" t="0" r="17780" b="25400"/>
                <wp:wrapSquare wrapText="bothSides"/>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1404620"/>
                        </a:xfrm>
                        <a:prstGeom prst="rect">
                          <a:avLst/>
                        </a:prstGeom>
                        <a:solidFill>
                          <a:srgbClr val="201547"/>
                        </a:solidFill>
                        <a:ln w="9525">
                          <a:solidFill>
                            <a:srgbClr val="000000"/>
                          </a:solidFill>
                          <a:miter lim="800000"/>
                          <a:headEnd/>
                          <a:tailEnd/>
                        </a:ln>
                      </wps:spPr>
                      <wps:txbx>
                        <w:txbxContent>
                          <w:p w14:paraId="261D0B86" w14:textId="02B67AD3" w:rsidR="00C42A95" w:rsidRPr="00C42A95" w:rsidRDefault="00C42A95" w:rsidP="00C42A95">
                            <w:pPr>
                              <w:pStyle w:val="Heading3-report"/>
                              <w:rPr>
                                <w:color w:val="FFFFFF" w:themeColor="background1"/>
                              </w:rPr>
                            </w:pPr>
                            <w:r w:rsidRPr="00C42A95">
                              <w:rPr>
                                <w:color w:val="FFFFFF" w:themeColor="background1"/>
                              </w:rPr>
                              <w:t>Section 22 Humane treatment when deprived of liberty</w:t>
                            </w:r>
                          </w:p>
                          <w:p w14:paraId="434FDADD" w14:textId="77777777" w:rsidR="00C42A95" w:rsidRPr="00C42A95" w:rsidRDefault="00C42A95" w:rsidP="00C42A95">
                            <w:pPr>
                              <w:rPr>
                                <w:color w:val="FFFFFF" w:themeColor="background1"/>
                              </w:rPr>
                            </w:pPr>
                            <w:r w:rsidRPr="00C42A95">
                              <w:rPr>
                                <w:color w:val="FFFFFF" w:themeColor="background1"/>
                              </w:rPr>
                              <w:t>(1) All persons deprived of liberty must be treated with humanity and with respect for the inherent dignity of the human person.</w:t>
                            </w:r>
                          </w:p>
                          <w:p w14:paraId="698C1930" w14:textId="77777777" w:rsidR="00C42A95" w:rsidRPr="00C42A95" w:rsidRDefault="00C42A95" w:rsidP="00C42A95">
                            <w:pPr>
                              <w:rPr>
                                <w:color w:val="FFFFFF" w:themeColor="background1"/>
                              </w:rPr>
                            </w:pPr>
                            <w:r w:rsidRPr="00C42A95">
                              <w:rPr>
                                <w:color w:val="FFFFFF" w:themeColor="background1"/>
                              </w:rPr>
                              <w:t>(2) An accused person who is detained or a person detained without charge must be segregated from persons who have been convicted of offences, except where reasonably necessary.</w:t>
                            </w:r>
                          </w:p>
                          <w:p w14:paraId="0D8F0B33" w14:textId="5D39852A" w:rsidR="00C1091A" w:rsidRPr="00C42A95" w:rsidRDefault="00C42A95" w:rsidP="00C42A95">
                            <w:pPr>
                              <w:rPr>
                                <w:color w:val="FFFFFF" w:themeColor="background1"/>
                              </w:rPr>
                            </w:pPr>
                            <w:r w:rsidRPr="00C42A95">
                              <w:rPr>
                                <w:color w:val="FFFFFF" w:themeColor="background1"/>
                              </w:rPr>
                              <w:t>(3) An accused person who is detained or a person detained without charge must be treated in a way that is appropriate for a person who has not been convicted.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6CB0DC" id="Text Box 264" o:spid="_x0000_s1055" type="#_x0000_t202" style="position:absolute;left:0;text-align:left;margin-left:400.4pt;margin-top:65.9pt;width:451.6pt;height:110.6pt;z-index:25165830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" fillcolor="#201547">
                <v:textbox style="mso-fit-shape-to-text:t">
                  <w:txbxContent>
                    <w:p w14:paraId="261D0B86" w14:textId="02B67AD3" w:rsidR="00C42A95" w:rsidRPr="00C42A95" w:rsidRDefault="00C42A95" w:rsidP="00C42A95">
                      <w:pPr>
                        <w:pStyle w:val="Heading3-report"/>
                        <w:rPr>
                          <w:color w:val="FFFFFF" w:themeColor="background1"/>
                        </w:rPr>
                      </w:pPr>
                      <w:r w:rsidRPr="00C42A95">
                        <w:rPr>
                          <w:color w:val="FFFFFF" w:themeColor="background1"/>
                        </w:rPr>
                        <w:t>Section 22 Humane treatment when deprived of liberty</w:t>
                      </w:r>
                    </w:p>
                    <w:p w14:paraId="434FDADD" w14:textId="77777777" w:rsidR="00C42A95" w:rsidRPr="00C42A95" w:rsidRDefault="00C42A95" w:rsidP="00C42A95">
                      <w:pPr>
                        <w:rPr>
                          <w:color w:val="FFFFFF" w:themeColor="background1"/>
                        </w:rPr>
                      </w:pPr>
                      <w:r w:rsidRPr="00C42A95">
                        <w:rPr>
                          <w:color w:val="FFFFFF" w:themeColor="background1"/>
                        </w:rPr>
                        <w:t>(1) All persons deprived of liberty must be treated with humanity and with respect for the inherent dignity of the human person.</w:t>
                      </w:r>
                    </w:p>
                    <w:p w14:paraId="698C1930" w14:textId="77777777" w:rsidR="00C42A95" w:rsidRPr="00C42A95" w:rsidRDefault="00C42A95" w:rsidP="00C42A95">
                      <w:pPr>
                        <w:rPr>
                          <w:color w:val="FFFFFF" w:themeColor="background1"/>
                        </w:rPr>
                      </w:pPr>
                      <w:r w:rsidRPr="00C42A95">
                        <w:rPr>
                          <w:color w:val="FFFFFF" w:themeColor="background1"/>
                        </w:rPr>
                        <w:t>(2) An accused person who is detained or a person detained without charge must be segregated from persons who have been convicted of offences, except where reasonably necessary.</w:t>
                      </w:r>
                    </w:p>
                    <w:p w14:paraId="0D8F0B33" w14:textId="5D39852A" w:rsidR="00C1091A" w:rsidRPr="00C42A95" w:rsidRDefault="00C42A95" w:rsidP="00C42A95">
                      <w:pPr>
                        <w:rPr>
                          <w:color w:val="FFFFFF" w:themeColor="background1"/>
                        </w:rPr>
                      </w:pPr>
                      <w:r w:rsidRPr="00C42A95">
                        <w:rPr>
                          <w:color w:val="FFFFFF" w:themeColor="background1"/>
                        </w:rPr>
                        <w:t>(3) An accused person who is detained or a person detained without charge must be treated in a way that is appropriate for a person who has not been convicted.</w:t>
                      </w:r>
                    </w:p>
                  </w:txbxContent>
                </v:textbox>
                <w10:wrap type="square" anchorx="margin"/>
              </v:shape>
            </w:pict>
          </mc:Fallback>
        </mc:AlternateContent>
      </w:r>
      <w:r w:rsidR="00A9204B">
        <w:t>Humane treatment when deprived of liberty (section 22)</w:t>
      </w:r>
    </w:p>
    <w:p w14:paraId="57F4F28E" w14:textId="7BE93C3C" w:rsidR="00C42A95" w:rsidRDefault="0C85D5A8" w:rsidP="00C42A95">
      <w:pPr>
        <w:pStyle w:val="BoldedRightsIntro"/>
      </w:pPr>
      <w:r>
        <w:t xml:space="preserve">There are some circumstances where the state will deem it necessary to restrict the liberty of its citizens. </w:t>
      </w:r>
      <w:r w:rsidR="00A87DD5">
        <w:t>For example, it</w:t>
      </w:r>
      <w:r>
        <w:t xml:space="preserve"> occurs when people are </w:t>
      </w:r>
      <w:r w:rsidR="0056220A">
        <w:t xml:space="preserve">in custody in the justice system or when they are </w:t>
      </w:r>
      <w:r>
        <w:t>held in inpatient units under mental health legislation. It is important, however, that citizens are treated as humanely as possibly when they are deprived of liberty.</w:t>
      </w:r>
      <w:r w:rsidR="00BB07E7">
        <w:t xml:space="preserve"> The initial failure to uphold this right during the 2020 C</w:t>
      </w:r>
      <w:r w:rsidR="00E04019">
        <w:t xml:space="preserve">OVID </w:t>
      </w:r>
      <w:r w:rsidR="00BB07E7">
        <w:t>19 housing tower lockdowns was rectified in 2021 lockdowns.</w:t>
      </w:r>
    </w:p>
    <w:p w14:paraId="7F25C922" w14:textId="41906453" w:rsidR="00D543CF" w:rsidRDefault="00D543CF" w:rsidP="00D543CF">
      <w:pPr>
        <w:pStyle w:val="Heading2-report"/>
      </w:pPr>
      <w:r>
        <w:t>Defining the right</w:t>
      </w:r>
    </w:p>
    <w:p w14:paraId="508C5748" w14:textId="41F465DF" w:rsidR="00710A6A" w:rsidRDefault="00710A6A" w:rsidP="00710A6A">
      <w:pPr>
        <w:spacing w:before="120"/>
      </w:pPr>
      <w:r>
        <w:t>Section 22 requires that everyone must be treated decently when deprived of their liberty. The right to humane treatment applies in all circumstances where a person is being detained, including when a person is detained in a mental health service. This right is complementary to the right to be free from torture and cruel, inhuman and degrading treatment (section 10).</w:t>
      </w:r>
    </w:p>
    <w:p w14:paraId="2E563C8E" w14:textId="23343D99" w:rsidR="00D543CF" w:rsidRDefault="00D543CF" w:rsidP="00D543CF">
      <w:pPr>
        <w:pStyle w:val="Heading2-report"/>
      </w:pPr>
      <w:r>
        <w:t>Where this may be relevant to your work</w:t>
      </w:r>
    </w:p>
    <w:p w14:paraId="2722F613" w14:textId="127A4B21" w:rsidR="003717B1" w:rsidRPr="003717B1" w:rsidRDefault="00710A6A" w:rsidP="003717B1">
      <w:pPr>
        <w:spacing w:before="120"/>
        <w:rPr>
          <w:rFonts w:cstheme="minorHAnsi"/>
          <w:color w:val="000000"/>
          <w:szCs w:val="24"/>
          <w:shd w:val="clear" w:color="auto" w:fill="FFFFFF"/>
        </w:rPr>
      </w:pPr>
      <w:r>
        <w:t xml:space="preserve">The right requires, for example, adequate standards of accommodation, </w:t>
      </w:r>
      <w:r w:rsidRPr="6D69D0D5">
        <w:t>food, and personal hygiene, opportunity to exercise, and access to appropriate medical services. In</w:t>
      </w:r>
      <w:r w:rsidRPr="6D69D0D5">
        <w:rPr>
          <w:color w:val="000000"/>
          <w:shd w:val="clear" w:color="auto" w:fill="FFFFFF"/>
        </w:rPr>
        <w:t> </w:t>
      </w:r>
      <w:r w:rsidRPr="6D69D0D5">
        <w:rPr>
          <w:rStyle w:val="Emphasis"/>
          <w:color w:val="000000"/>
          <w:shd w:val="clear" w:color="auto" w:fill="FFFFFF"/>
        </w:rPr>
        <w:t>Castles</w:t>
      </w:r>
      <w:r w:rsidRPr="6D69D0D5">
        <w:rPr>
          <w:color w:val="000000"/>
          <w:shd w:val="clear" w:color="auto" w:fill="FFFFFF"/>
        </w:rPr>
        <w:t xml:space="preserve">, </w:t>
      </w:r>
      <w:r w:rsidR="00387BCF">
        <w:rPr>
          <w:color w:val="000000"/>
          <w:shd w:val="clear" w:color="auto" w:fill="FFFFFF"/>
        </w:rPr>
        <w:t>t</w:t>
      </w:r>
      <w:r w:rsidRPr="6D69D0D5">
        <w:rPr>
          <w:color w:val="000000"/>
          <w:shd w:val="clear" w:color="auto" w:fill="FFFFFF"/>
        </w:rPr>
        <w:t>he Supreme Court of Victoria found that access to health care is a fundamental aspect of the right in section 22(1) so that ‘prisoners are entitled to have access to health services available to the wider community without discrimination on the grounds of their legal situation’</w:t>
      </w:r>
      <w:r w:rsidRPr="0091262D">
        <w:rPr>
          <w:rStyle w:val="FootnoteReference"/>
        </w:rPr>
        <w:footnoteReference w:id="209"/>
      </w:r>
      <w:r w:rsidRPr="6D69D0D5">
        <w:rPr>
          <w:color w:val="000000"/>
          <w:shd w:val="clear" w:color="auto" w:fill="FFFFFF"/>
        </w:rPr>
        <w:t xml:space="preserve"> This reasoning could be applied to a person accessing physical health services and relevant medications when detained in a mental health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3717B1" w14:paraId="31B35090" w14:textId="77777777" w:rsidTr="6D69D0D5">
        <w:tc>
          <w:tcPr>
            <w:tcW w:w="9060" w:type="dxa"/>
            <w:tcBorders>
              <w:top w:val="thickThinSmallGap" w:sz="24" w:space="0" w:color="201547"/>
              <w:bottom w:val="thickThinSmallGap" w:sz="24" w:space="0" w:color="201547"/>
            </w:tcBorders>
            <w:shd w:val="clear" w:color="auto" w:fill="F2F2F2" w:themeFill="background1" w:themeFillShade="F2"/>
          </w:tcPr>
          <w:p w14:paraId="0346F6F8" w14:textId="2F6840D5" w:rsidR="003717B1" w:rsidRDefault="003717B1" w:rsidP="00790898">
            <w:pPr>
              <w:keepNext/>
              <w:rPr>
                <w:b/>
                <w:bCs/>
                <w:sz w:val="28"/>
                <w:szCs w:val="24"/>
              </w:rPr>
            </w:pPr>
            <w:r>
              <w:rPr>
                <w:b/>
                <w:bCs/>
                <w:sz w:val="28"/>
                <w:szCs w:val="24"/>
              </w:rPr>
              <w:lastRenderedPageBreak/>
              <w:t xml:space="preserve">Case example: </w:t>
            </w:r>
            <w:r w:rsidR="00190E24">
              <w:rPr>
                <w:b/>
                <w:bCs/>
                <w:sz w:val="28"/>
                <w:szCs w:val="24"/>
              </w:rPr>
              <w:t xml:space="preserve">Smoke Free Policy </w:t>
            </w:r>
            <w:r w:rsidR="00484F8F">
              <w:rPr>
                <w:b/>
                <w:bCs/>
                <w:sz w:val="28"/>
                <w:szCs w:val="24"/>
              </w:rPr>
              <w:t xml:space="preserve">found </w:t>
            </w:r>
            <w:r w:rsidR="00190E24">
              <w:rPr>
                <w:b/>
                <w:bCs/>
                <w:sz w:val="28"/>
                <w:szCs w:val="24"/>
              </w:rPr>
              <w:t xml:space="preserve">not </w:t>
            </w:r>
            <w:r w:rsidR="00484F8F">
              <w:rPr>
                <w:b/>
                <w:bCs/>
                <w:sz w:val="28"/>
                <w:szCs w:val="24"/>
              </w:rPr>
              <w:t xml:space="preserve">to be </w:t>
            </w:r>
            <w:r w:rsidR="00190E24">
              <w:rPr>
                <w:b/>
                <w:bCs/>
                <w:sz w:val="28"/>
                <w:szCs w:val="24"/>
              </w:rPr>
              <w:t>inhumane treatment</w:t>
            </w:r>
          </w:p>
          <w:p w14:paraId="6520ADAA" w14:textId="716ABE60" w:rsidR="003717B1" w:rsidRPr="00924DDD" w:rsidRDefault="00A157D3" w:rsidP="00924DDD">
            <w:r>
              <w:t>The right in section 22(1) was found not to be engaged by a ‘Smoke Free Policy’ implemented at Thomas Embling Hospital. The plaintiff was an involuntary inpatient who argued that being forced to quit smoking would cause a deterioration of his mental state and physical side effects. The Court acknowledged that ‘what may not be inhumane or an affront to the dignity of a person, who is free to return to his home, may be one or both of those things to an involuntary patient’.</w:t>
            </w:r>
            <w:r w:rsidRPr="0091262D">
              <w:rPr>
                <w:rStyle w:val="FootnoteReference"/>
              </w:rPr>
              <w:footnoteReference w:id="210"/>
            </w:r>
            <w:r w:rsidR="005D3646">
              <w:t xml:space="preserve"> It also acknowledged the addictive nature of nicotine and the effects of an imposed withdrawal.</w:t>
            </w:r>
            <w:r w:rsidR="005D3646" w:rsidRPr="0091262D">
              <w:rPr>
                <w:rStyle w:val="FootnoteReference"/>
              </w:rPr>
              <w:footnoteReference w:id="211"/>
            </w:r>
            <w:r w:rsidR="005D3646">
              <w:t xml:space="preserve"> The Court also found that the policy was intended for the ‘ultimate benefit of all of </w:t>
            </w:r>
            <w:r w:rsidR="00924DDD">
              <w:t>the Hospital’s patients … and staff’ and was introduced with ‘careful consideration’ and supportive treatments being made available to patients.</w:t>
            </w:r>
            <w:r w:rsidR="00924DDD" w:rsidRPr="0091262D">
              <w:rPr>
                <w:rStyle w:val="FootnoteReference"/>
              </w:rPr>
              <w:footnoteReference w:id="212"/>
            </w:r>
            <w:r w:rsidR="00924DDD">
              <w:t xml:space="preserve"> The Court concluded that the policy did not ‘impact on the dignity of the Hospital patients’ and was not ‘inhumane’.</w:t>
            </w:r>
            <w:r w:rsidR="00924DDD" w:rsidRPr="0091262D">
              <w:rPr>
                <w:rStyle w:val="FootnoteReference"/>
              </w:rPr>
              <w:footnoteReference w:id="213"/>
            </w:r>
          </w:p>
        </w:tc>
      </w:tr>
    </w:tbl>
    <w:p w14:paraId="2C83FDD1" w14:textId="77777777" w:rsidR="002C799B" w:rsidRDefault="00710A6A" w:rsidP="00710A6A">
      <w:pPr>
        <w:spacing w:before="120"/>
        <w:sectPr w:rsidR="002C799B" w:rsidSect="00271E88">
          <w:pgSz w:w="11906" w:h="16838"/>
          <w:pgMar w:top="1440" w:right="1418" w:bottom="1440" w:left="1418" w:header="708" w:footer="708" w:gutter="0"/>
          <w:cols w:space="708"/>
          <w:titlePg/>
          <w:docGrid w:linePitch="360"/>
        </w:sectPr>
      </w:pPr>
      <w:r>
        <w:t>Subsections (2) and (3) of the right to humane treatment when deprived of liberty set out additional rights in the criminal justice system.</w:t>
      </w:r>
    </w:p>
    <w:p w14:paraId="04510EB1" w14:textId="2383C2DC" w:rsidR="002C799B" w:rsidRDefault="002C799B" w:rsidP="002C799B">
      <w:pPr>
        <w:pStyle w:val="Heading1-report"/>
        <w:spacing w:before="0"/>
      </w:pPr>
      <w:r>
        <w:lastRenderedPageBreak/>
        <w:tab/>
      </w:r>
      <w:r>
        <w:rPr>
          <w:noProof/>
        </w:rPr>
        <mc:AlternateContent>
          <mc:Choice Requires="wps">
            <w:drawing>
              <wp:anchor distT="0" distB="0" distL="114300" distR="114300" simplePos="0" relativeHeight="251658278" behindDoc="1" locked="0" layoutInCell="1" allowOverlap="1" wp14:anchorId="40A35DC4" wp14:editId="692A1162">
                <wp:simplePos x="0" y="0"/>
                <wp:positionH relativeFrom="page">
                  <wp:align>left</wp:align>
                </wp:positionH>
                <wp:positionV relativeFrom="paragraph">
                  <wp:posOffset>-901811</wp:posOffset>
                </wp:positionV>
                <wp:extent cx="10693593" cy="7952874"/>
                <wp:effectExtent l="0" t="0" r="12700" b="10160"/>
                <wp:wrapNone/>
                <wp:docPr id="298" name="Rectangle 298"/>
                <wp:cNvGraphicFramePr/>
                <a:graphic xmlns:a="http://schemas.openxmlformats.org/drawingml/2006/main">
                  <a:graphicData uri="http://schemas.microsoft.com/office/word/2010/wordprocessingShape">
                    <wps:wsp>
                      <wps:cNvSpPr/>
                      <wps:spPr>
                        <a:xfrm>
                          <a:off x="0" y="0"/>
                          <a:ext cx="10693593" cy="7952874"/>
                        </a:xfrm>
                        <a:prstGeom prst="rect">
                          <a:avLst/>
                        </a:prstGeom>
                        <a:solidFill>
                          <a:srgbClr val="D0E8E9"/>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CFFA72" w14:textId="77777777" w:rsidR="002C799B" w:rsidRDefault="002C799B" w:rsidP="002C79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35DC4" id="Rectangle 298" o:spid="_x0000_s1056" style="position:absolute;margin-left:0;margin-top:-71pt;width:842pt;height:626.2pt;z-index:-25165820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" fillcolor="#d0e8e9" strokecolor="#1b383a [1604]" strokeweight="1pt">
                <v:textbox>
                  <w:txbxContent>
                    <w:p w14:paraId="0CCFFA72" w14:textId="77777777" w:rsidR="002C799B" w:rsidRDefault="002C799B" w:rsidP="002C799B">
                      <w:pPr>
                        <w:jc w:val="center"/>
                      </w:pPr>
                    </w:p>
                  </w:txbxContent>
                </v:textbox>
                <w10:wrap anchorx="page"/>
              </v:rect>
            </w:pict>
          </mc:Fallback>
        </mc:AlternateContent>
      </w:r>
      <w:r>
        <w:t>TAKE-HOMES: HUMANE TREATMENT WHEN DEPRIVED OF LIBERTY</w:t>
      </w:r>
    </w:p>
    <w:tbl>
      <w:tblPr>
        <w:tblStyle w:val="TableGridLight"/>
        <w:tblW w:w="15446" w:type="dxa"/>
        <w:tblCellMar>
          <w:bottom w:w="284" w:type="dxa"/>
        </w:tblCellMar>
        <w:tblLook w:val="04A0" w:firstRow="1" w:lastRow="0" w:firstColumn="1" w:lastColumn="0" w:noHBand="0" w:noVBand="1"/>
      </w:tblPr>
      <w:tblGrid>
        <w:gridCol w:w="1056"/>
        <w:gridCol w:w="6375"/>
        <w:gridCol w:w="1056"/>
        <w:gridCol w:w="6959"/>
      </w:tblGrid>
      <w:tr w:rsidR="002C799B" w14:paraId="7918B048" w14:textId="77777777" w:rsidTr="0C85D5A8">
        <w:tc>
          <w:tcPr>
            <w:tcW w:w="1056" w:type="dxa"/>
          </w:tcPr>
          <w:p w14:paraId="34AD3EFE" w14:textId="77777777" w:rsidR="002C799B" w:rsidRDefault="002C799B" w:rsidP="004F4360">
            <w:r>
              <w:rPr>
                <w:noProof/>
              </w:rPr>
              <w:drawing>
                <wp:inline distT="0" distB="0" distL="0" distR="0" wp14:anchorId="7D0D2E90" wp14:editId="7DC033E2">
                  <wp:extent cx="526774" cy="526774"/>
                  <wp:effectExtent l="0" t="0" r="6985" b="6985"/>
                  <wp:docPr id="299" name="Graphic 299"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6452" w:type="dxa"/>
          </w:tcPr>
          <w:p w14:paraId="2455E0FD" w14:textId="78A0F997" w:rsidR="002C799B" w:rsidRDefault="002C799B" w:rsidP="002C799B">
            <w:pPr>
              <w:pStyle w:val="Heading3-report"/>
            </w:pPr>
            <w:r>
              <w:t xml:space="preserve">Develop standards </w:t>
            </w:r>
            <w:r w:rsidR="009C47C9">
              <w:t xml:space="preserve">and </w:t>
            </w:r>
            <w:r>
              <w:t>monitor conditions in closed environments</w:t>
            </w:r>
          </w:p>
          <w:p w14:paraId="755673EE" w14:textId="2394F3B3" w:rsidR="002C799B" w:rsidRPr="002C799B" w:rsidRDefault="002C799B" w:rsidP="002C799B">
            <w:r w:rsidRPr="002C799B">
              <w:t>Ensure that the Chief Psychiatrist or Chief Mental Health Officer develops and monitors standards within closed environments. These include both the general living conditions in that environment, as well as the standard of mental health care and general healthcare.</w:t>
            </w:r>
          </w:p>
          <w:p w14:paraId="10AA739D" w14:textId="42280758" w:rsidR="002C799B" w:rsidRPr="006F6EC8" w:rsidRDefault="002C799B" w:rsidP="004F4360"/>
        </w:tc>
        <w:tc>
          <w:tcPr>
            <w:tcW w:w="890" w:type="dxa"/>
          </w:tcPr>
          <w:p w14:paraId="76221524" w14:textId="77777777" w:rsidR="002C799B" w:rsidRDefault="002C799B" w:rsidP="004F4360">
            <w:r>
              <w:rPr>
                <w:noProof/>
              </w:rPr>
              <w:drawing>
                <wp:inline distT="0" distB="0" distL="0" distR="0" wp14:anchorId="519362C1" wp14:editId="1E40777B">
                  <wp:extent cx="526774" cy="526774"/>
                  <wp:effectExtent l="0" t="0" r="6985" b="6985"/>
                  <wp:docPr id="300" name="Graphic 300"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7048" w:type="dxa"/>
          </w:tcPr>
          <w:p w14:paraId="76FD2520" w14:textId="1215A2D0" w:rsidR="005A3909" w:rsidRDefault="005A3909" w:rsidP="005A3909">
            <w:pPr>
              <w:pStyle w:val="Heading3-report"/>
            </w:pPr>
            <w:r>
              <w:t>Ensure compliance with laws</w:t>
            </w:r>
          </w:p>
          <w:p w14:paraId="3D72D315" w14:textId="649F346B" w:rsidR="002C799B" w:rsidRPr="00861362" w:rsidRDefault="00F53EE4" w:rsidP="005A3909">
            <w:r>
              <w:t>Even if someone is detained under mental health laws, they have rights. Unfortunately, these minimum rights are often breached.</w:t>
            </w:r>
            <w:r w:rsidR="005040ED" w:rsidRPr="0091262D">
              <w:rPr>
                <w:rStyle w:val="FootnoteReference"/>
              </w:rPr>
              <w:footnoteReference w:id="214"/>
            </w:r>
            <w:r w:rsidR="005040ED">
              <w:t xml:space="preserve"> It is crucial that in their engagements with mental health and wellbeing services, that the Division communicate its expectations on compliance with t</w:t>
            </w:r>
            <w:r w:rsidR="0014567C">
              <w:t>he Charter and mental health laws and has in place mechanisms to get feedback on and more formally review and evaluate compliance. Assessment for future contracts should consider past performance in acting lawfully under the Charter and mental health laws.</w:t>
            </w:r>
          </w:p>
        </w:tc>
      </w:tr>
      <w:tr w:rsidR="002C799B" w14:paraId="780706F8" w14:textId="77777777" w:rsidTr="0C85D5A8">
        <w:tc>
          <w:tcPr>
            <w:tcW w:w="1056" w:type="dxa"/>
            <w:shd w:val="clear" w:color="auto" w:fill="auto"/>
          </w:tcPr>
          <w:p w14:paraId="432FAA53" w14:textId="77777777" w:rsidR="002C799B" w:rsidRDefault="002C799B" w:rsidP="004F4360">
            <w:r>
              <w:rPr>
                <w:noProof/>
              </w:rPr>
              <w:drawing>
                <wp:inline distT="0" distB="0" distL="0" distR="0" wp14:anchorId="2A347CB5" wp14:editId="3AA0E91F">
                  <wp:extent cx="526774" cy="526774"/>
                  <wp:effectExtent l="0" t="0" r="6985" b="6985"/>
                  <wp:docPr id="301" name="Graphic 301"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6452" w:type="dxa"/>
          </w:tcPr>
          <w:p w14:paraId="16A608D9" w14:textId="64EDC9F5" w:rsidR="002C799B" w:rsidRDefault="00FE4823" w:rsidP="004F4360">
            <w:pPr>
              <w:pStyle w:val="Heading3-report"/>
            </w:pPr>
            <w:r>
              <w:t xml:space="preserve">Ensure </w:t>
            </w:r>
            <w:r w:rsidR="001075F7">
              <w:t>consumers</w:t>
            </w:r>
            <w:r>
              <w:t xml:space="preserve"> develop minimum standards for services</w:t>
            </w:r>
          </w:p>
          <w:p w14:paraId="2418B1FF" w14:textId="1270407F" w:rsidR="00FE4823" w:rsidRPr="001075F7" w:rsidRDefault="001075F7" w:rsidP="00FE4823">
            <w:r>
              <w:t xml:space="preserve">If someone is detained within a mental health service, it is crucial that this environment is as safe, clean and accessible as possible. Statewide standards and local implementation processes should be done in partnership with consumers. </w:t>
            </w:r>
            <w:r w:rsidR="002053BA">
              <w:t>This should include consumers from a range of backgrounds.</w:t>
            </w:r>
          </w:p>
          <w:p w14:paraId="7AAE2660" w14:textId="0A718D07" w:rsidR="002C799B" w:rsidRPr="00271054" w:rsidRDefault="002C799B" w:rsidP="004F4360"/>
        </w:tc>
        <w:tc>
          <w:tcPr>
            <w:tcW w:w="890" w:type="dxa"/>
          </w:tcPr>
          <w:p w14:paraId="06031DE6" w14:textId="728BC569" w:rsidR="002C799B" w:rsidRDefault="002C799B" w:rsidP="004F4360"/>
        </w:tc>
        <w:tc>
          <w:tcPr>
            <w:tcW w:w="7048" w:type="dxa"/>
          </w:tcPr>
          <w:p w14:paraId="2516D571" w14:textId="413C0C0D" w:rsidR="002C799B" w:rsidRPr="00796694" w:rsidRDefault="002C799B" w:rsidP="004F4360"/>
        </w:tc>
      </w:tr>
    </w:tbl>
    <w:p w14:paraId="5EAD0FBF" w14:textId="77777777" w:rsidR="002C799B" w:rsidRDefault="002C799B" w:rsidP="00710A6A">
      <w:pPr>
        <w:spacing w:before="120"/>
        <w:sectPr w:rsidR="002C799B" w:rsidSect="002C799B">
          <w:pgSz w:w="16838" w:h="11906" w:orient="landscape"/>
          <w:pgMar w:top="720" w:right="720" w:bottom="720" w:left="720" w:header="708" w:footer="708" w:gutter="0"/>
          <w:cols w:space="708"/>
          <w:titlePg/>
          <w:docGrid w:linePitch="360"/>
        </w:sectPr>
      </w:pPr>
    </w:p>
    <w:p w14:paraId="72E8F5AD" w14:textId="480F9129" w:rsidR="00A9204B" w:rsidRDefault="002976ED" w:rsidP="002976ED">
      <w:pPr>
        <w:pStyle w:val="Heading1-report"/>
        <w:spacing w:before="0"/>
        <w:ind w:left="1440"/>
      </w:pPr>
      <w:r>
        <w:rPr>
          <w:noProof/>
        </w:rPr>
        <w:lastRenderedPageBreak/>
        <mc:AlternateContent>
          <mc:Choice Requires="wps">
            <w:drawing>
              <wp:anchor distT="45720" distB="45720" distL="114300" distR="114300" simplePos="0" relativeHeight="251658303" behindDoc="0" locked="0" layoutInCell="1" allowOverlap="1" wp14:anchorId="17BA9EDD" wp14:editId="7916039E">
                <wp:simplePos x="0" y="0"/>
                <wp:positionH relativeFrom="margin">
                  <wp:posOffset>6350</wp:posOffset>
                </wp:positionH>
                <wp:positionV relativeFrom="paragraph">
                  <wp:posOffset>770720</wp:posOffset>
                </wp:positionV>
                <wp:extent cx="5735320" cy="1404620"/>
                <wp:effectExtent l="0" t="0" r="17780" b="22860"/>
                <wp:wrapSquare wrapText="bothSides"/>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1404620"/>
                        </a:xfrm>
                        <a:prstGeom prst="rect">
                          <a:avLst/>
                        </a:prstGeom>
                        <a:solidFill>
                          <a:srgbClr val="201547"/>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E653D50" w14:textId="77777777" w:rsidR="00A9238A" w:rsidRPr="00A9238A" w:rsidRDefault="00A9238A" w:rsidP="00A9238A">
                            <w:pPr>
                              <w:pStyle w:val="Heading3-report"/>
                              <w:rPr>
                                <w:color w:val="FFFFFF" w:themeColor="background1"/>
                              </w:rPr>
                            </w:pPr>
                            <w:r w:rsidRPr="00A9238A">
                              <w:rPr>
                                <w:color w:val="FFFFFF" w:themeColor="background1"/>
                              </w:rPr>
                              <w:t>Section 23 Children in the criminal process</w:t>
                            </w:r>
                          </w:p>
                          <w:p w14:paraId="3CEE1196" w14:textId="77777777" w:rsidR="00A9238A" w:rsidRPr="00A9238A" w:rsidRDefault="00A9238A" w:rsidP="00A9238A">
                            <w:pPr>
                              <w:rPr>
                                <w:color w:val="FFFFFF" w:themeColor="background1"/>
                              </w:rPr>
                            </w:pPr>
                            <w:r w:rsidRPr="00A9238A">
                              <w:rPr>
                                <w:color w:val="FFFFFF" w:themeColor="background1"/>
                              </w:rPr>
                              <w:t xml:space="preserve">(1) An accused child who is detained or a child detained without charge must be segregated from all detained adults. </w:t>
                            </w:r>
                          </w:p>
                          <w:p w14:paraId="14257426" w14:textId="77777777" w:rsidR="00A9238A" w:rsidRPr="00A9238A" w:rsidRDefault="00A9238A" w:rsidP="00A9238A">
                            <w:pPr>
                              <w:rPr>
                                <w:color w:val="FFFFFF" w:themeColor="background1"/>
                              </w:rPr>
                            </w:pPr>
                            <w:r w:rsidRPr="00A9238A">
                              <w:rPr>
                                <w:color w:val="FFFFFF" w:themeColor="background1"/>
                              </w:rPr>
                              <w:t>(2) An accused child must be brought to trial as quickly as possible.</w:t>
                            </w:r>
                          </w:p>
                          <w:p w14:paraId="200D598C" w14:textId="7BE5824F" w:rsidR="00A9238A" w:rsidRPr="00A9238A" w:rsidRDefault="00A9238A" w:rsidP="00A9238A">
                            <w:pPr>
                              <w:rPr>
                                <w:color w:val="FFFFFF" w:themeColor="background1"/>
                              </w:rPr>
                            </w:pPr>
                            <w:r w:rsidRPr="00A9238A">
                              <w:rPr>
                                <w:color w:val="FFFFFF" w:themeColor="background1"/>
                              </w:rPr>
                              <w:t>(3) A child who has been convicted of an offence must be treated in a way that is appropriate for that child's 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BA9EDD" id="Text Box 265" o:spid="_x0000_s1057" type="#_x0000_t202" style="position:absolute;left:0;text-align:left;margin-left:.5pt;margin-top:60.7pt;width:451.6pt;height:110.6pt;z-index:25165830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" fillcolor="#201547" strokecolor="#1b383a [1604]" strokeweight="1pt">
                <v:textbox style="mso-fit-shape-to-text:t">
                  <w:txbxContent>
                    <w:p w14:paraId="6E653D50" w14:textId="77777777" w:rsidR="00A9238A" w:rsidRPr="00A9238A" w:rsidRDefault="00A9238A" w:rsidP="00A9238A">
                      <w:pPr>
                        <w:pStyle w:val="Heading3-report"/>
                        <w:rPr>
                          <w:color w:val="FFFFFF" w:themeColor="background1"/>
                        </w:rPr>
                      </w:pPr>
                      <w:r w:rsidRPr="00A9238A">
                        <w:rPr>
                          <w:color w:val="FFFFFF" w:themeColor="background1"/>
                        </w:rPr>
                        <w:t>Section 23 Children in the criminal process</w:t>
                      </w:r>
                    </w:p>
                    <w:p w14:paraId="3CEE1196" w14:textId="77777777" w:rsidR="00A9238A" w:rsidRPr="00A9238A" w:rsidRDefault="00A9238A" w:rsidP="00A9238A">
                      <w:pPr>
                        <w:rPr>
                          <w:color w:val="FFFFFF" w:themeColor="background1"/>
                        </w:rPr>
                      </w:pPr>
                      <w:r w:rsidRPr="00A9238A">
                        <w:rPr>
                          <w:color w:val="FFFFFF" w:themeColor="background1"/>
                        </w:rPr>
                        <w:t xml:space="preserve">(1) An accused child who is detained or a child detained without charge must be segregated from all detained adults. </w:t>
                      </w:r>
                    </w:p>
                    <w:p w14:paraId="14257426" w14:textId="77777777" w:rsidR="00A9238A" w:rsidRPr="00A9238A" w:rsidRDefault="00A9238A" w:rsidP="00A9238A">
                      <w:pPr>
                        <w:rPr>
                          <w:color w:val="FFFFFF" w:themeColor="background1"/>
                        </w:rPr>
                      </w:pPr>
                      <w:r w:rsidRPr="00A9238A">
                        <w:rPr>
                          <w:color w:val="FFFFFF" w:themeColor="background1"/>
                        </w:rPr>
                        <w:t>(2) An accused child must be brought to trial as quickly as possible.</w:t>
                      </w:r>
                    </w:p>
                    <w:p w14:paraId="200D598C" w14:textId="7BE5824F" w:rsidR="00A9238A" w:rsidRPr="00A9238A" w:rsidRDefault="00A9238A" w:rsidP="00A9238A">
                      <w:pPr>
                        <w:rPr>
                          <w:color w:val="FFFFFF" w:themeColor="background1"/>
                        </w:rPr>
                      </w:pPr>
                      <w:r w:rsidRPr="00A9238A">
                        <w:rPr>
                          <w:color w:val="FFFFFF" w:themeColor="background1"/>
                        </w:rPr>
                        <w:t>(3) A child who has been convicted of an offence must be treated in a way that is appropriate for that child's age.</w:t>
                      </w:r>
                    </w:p>
                  </w:txbxContent>
                </v:textbox>
                <w10:wrap type="square" anchorx="margin"/>
              </v:shape>
            </w:pict>
          </mc:Fallback>
        </mc:AlternateContent>
      </w:r>
      <w:r w:rsidR="003F4080">
        <w:rPr>
          <w:noProof/>
        </w:rPr>
        <w:drawing>
          <wp:anchor distT="0" distB="0" distL="114300" distR="114300" simplePos="0" relativeHeight="251658285" behindDoc="0" locked="0" layoutInCell="1" allowOverlap="1" wp14:anchorId="58E297FB" wp14:editId="247AF522">
            <wp:simplePos x="0" y="0"/>
            <wp:positionH relativeFrom="margin">
              <wp:align>left</wp:align>
            </wp:positionH>
            <wp:positionV relativeFrom="paragraph">
              <wp:posOffset>5080</wp:posOffset>
            </wp:positionV>
            <wp:extent cx="517071" cy="517071"/>
            <wp:effectExtent l="0" t="0" r="0" b="0"/>
            <wp:wrapNone/>
            <wp:docPr id="226" name="Picture 226" descr="Adult protecting child with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Adult protecting child with shield"/>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18048" cy="518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04B">
        <w:t>Children in the criminal process (section 23)</w:t>
      </w:r>
    </w:p>
    <w:p w14:paraId="37AD0C05" w14:textId="0D3BD8F4" w:rsidR="001F38F2" w:rsidRDefault="007F7F0E" w:rsidP="00FC37F3">
      <w:pPr>
        <w:pStyle w:val="BoldedRightsIntro"/>
      </w:pPr>
      <w:r>
        <w:t xml:space="preserve">Given the greater </w:t>
      </w:r>
      <w:r w:rsidR="00EA12BE">
        <w:t>opportunities for harm and exploitation to children and young people, they enjoy specific rights in the criminal justice process.</w:t>
      </w:r>
    </w:p>
    <w:p w14:paraId="31E64279" w14:textId="42176162" w:rsidR="00897B6C" w:rsidRDefault="00897B6C" w:rsidP="00897B6C">
      <w:pPr>
        <w:spacing w:before="120"/>
      </w:pPr>
      <w:r>
        <w:t>Section 23 sets out the special rights of children in the criminal process.</w:t>
      </w:r>
    </w:p>
    <w:p w14:paraId="6990E2FD" w14:textId="77777777" w:rsidR="00897B6C" w:rsidRDefault="00897B6C" w:rsidP="00897B6C">
      <w:pPr>
        <w:spacing w:before="120"/>
      </w:pPr>
      <w:r>
        <w:t>If children are detained, whether they have been charged or not, they must be kept apart from adults. Facilities designed specifically for children better cater for the developmental needs of children.</w:t>
      </w:r>
    </w:p>
    <w:p w14:paraId="7660E53D" w14:textId="77777777" w:rsidR="00897B6C" w:rsidRDefault="00897B6C" w:rsidP="00897B6C">
      <w:pPr>
        <w:spacing w:before="120"/>
        <w:rPr>
          <w:rFonts w:cstheme="minorHAnsi"/>
          <w:color w:val="000000"/>
          <w:shd w:val="clear" w:color="auto" w:fill="FFFFFF"/>
        </w:rPr>
      </w:pPr>
      <w:r w:rsidRPr="00083599">
        <w:rPr>
          <w:rFonts w:cstheme="minorHAnsi"/>
          <w:color w:val="000000"/>
          <w:shd w:val="clear" w:color="auto" w:fill="FFFFFF"/>
        </w:rPr>
        <w:t>There is one exception to the separation of children from adults</w:t>
      </w:r>
      <w:r>
        <w:rPr>
          <w:rFonts w:cstheme="minorHAnsi"/>
          <w:color w:val="000000"/>
          <w:shd w:val="clear" w:color="auto" w:fill="FFFFFF"/>
        </w:rPr>
        <w:t>—</w:t>
      </w:r>
      <w:r w:rsidRPr="00083599">
        <w:rPr>
          <w:rFonts w:cstheme="minorHAnsi"/>
          <w:color w:val="000000"/>
          <w:shd w:val="clear" w:color="auto" w:fill="FFFFFF"/>
        </w:rPr>
        <w:t>where it is not in the child’s best interests. For example, a judge may decide that it is in a child’s best interest to be detained with a parent or close to home, even if that means being detained in a facility shared with adults.</w:t>
      </w:r>
    </w:p>
    <w:p w14:paraId="7E47537C" w14:textId="268F6674" w:rsidR="00897B6C" w:rsidRDefault="00897B6C" w:rsidP="00897B6C">
      <w:pPr>
        <w:spacing w:before="120"/>
        <w:rPr>
          <w:rFonts w:cstheme="minorHAnsi"/>
          <w:color w:val="000000"/>
          <w:shd w:val="clear" w:color="auto" w:fill="FFFFFF"/>
        </w:rPr>
      </w:pPr>
      <w:r>
        <w:rPr>
          <w:rFonts w:cstheme="minorHAnsi"/>
          <w:color w:val="000000"/>
          <w:shd w:val="clear" w:color="auto" w:fill="FFFFFF"/>
        </w:rPr>
        <w:t xml:space="preserve">Every child arrested and charged must be brought before a court as quickly as possible. </w:t>
      </w:r>
    </w:p>
    <w:p w14:paraId="56089F83" w14:textId="1CEA91A7" w:rsidR="008B123B" w:rsidRDefault="00897B6C" w:rsidP="002C006A">
      <w:pPr>
        <w:spacing w:before="120"/>
      </w:pPr>
      <w:r>
        <w:rPr>
          <w:rFonts w:cstheme="minorHAnsi"/>
          <w:color w:val="000000"/>
          <w:shd w:val="clear" w:color="auto" w:fill="FFFFFF"/>
        </w:rPr>
        <w:t>A child who has been convicted of an offence must be treated in a way that is appropriate to his or her age</w:t>
      </w:r>
      <w:r w:rsidR="008906D4">
        <w:rPr>
          <w:rFonts w:cstheme="minorHAnsi"/>
          <w:color w:val="000000"/>
          <w:shd w:val="clear" w:color="auto" w:fill="FFFFFF"/>
        </w:rPr>
        <w:t>.</w:t>
      </w:r>
      <w:r w:rsidR="002C006A">
        <w:t xml:space="preserve"> </w:t>
      </w:r>
    </w:p>
    <w:p w14:paraId="424B0D46" w14:textId="6D3108FE" w:rsidR="007F7F0E" w:rsidRDefault="007F7F0E" w:rsidP="007F7F0E">
      <w:pPr>
        <w:pStyle w:val="Heading2-report"/>
      </w:pPr>
      <w:r>
        <w:t>Where this may be relevant to your work</w:t>
      </w:r>
    </w:p>
    <w:p w14:paraId="58521D60" w14:textId="795A248A" w:rsidR="000E0248" w:rsidRDefault="000E0248" w:rsidP="002C006A">
      <w:pPr>
        <w:spacing w:before="120"/>
      </w:pPr>
      <w:r>
        <w:t xml:space="preserve">Circumstances where this may arise </w:t>
      </w:r>
      <w:r w:rsidR="00E60D06">
        <w:t>include</w:t>
      </w:r>
      <w:r w:rsidR="008D6E4C">
        <w:t xml:space="preserve"> when working with the Department of Justice and Community Safety on</w:t>
      </w:r>
      <w:r>
        <w:t>:</w:t>
      </w:r>
    </w:p>
    <w:p w14:paraId="353AB01F" w14:textId="6BB46446" w:rsidR="000E0248" w:rsidRDefault="00E60D06" w:rsidP="00E225B4">
      <w:pPr>
        <w:pStyle w:val="ListParagraph"/>
        <w:numPr>
          <w:ilvl w:val="0"/>
          <w:numId w:val="40"/>
        </w:numPr>
        <w:spacing w:before="120"/>
      </w:pPr>
      <w:r>
        <w:t>policy settings, commissioning</w:t>
      </w:r>
      <w:r w:rsidR="009365DF">
        <w:t>,</w:t>
      </w:r>
      <w:r>
        <w:t xml:space="preserve"> funding</w:t>
      </w:r>
      <w:r w:rsidR="009365DF">
        <w:t xml:space="preserve"> and evaluation</w:t>
      </w:r>
      <w:r>
        <w:t xml:space="preserve"> of </w:t>
      </w:r>
      <w:r w:rsidR="00605771">
        <w:t>p</w:t>
      </w:r>
      <w:r w:rsidR="000E0248">
        <w:t xml:space="preserve">sychological or psychiatric assessments of children </w:t>
      </w:r>
      <w:r w:rsidR="0091342A">
        <w:t>for criminal justice matters</w:t>
      </w:r>
    </w:p>
    <w:p w14:paraId="219A5F00" w14:textId="0277C2E0" w:rsidR="0091342A" w:rsidRDefault="008D6E4C" w:rsidP="00E225B4">
      <w:pPr>
        <w:pStyle w:val="ListParagraph"/>
        <w:numPr>
          <w:ilvl w:val="0"/>
          <w:numId w:val="40"/>
        </w:numPr>
        <w:spacing w:before="120"/>
      </w:pPr>
      <w:r>
        <w:t>policy settings, commissioning</w:t>
      </w:r>
      <w:r w:rsidR="009365DF">
        <w:t>,</w:t>
      </w:r>
      <w:r>
        <w:t xml:space="preserve"> funding</w:t>
      </w:r>
      <w:r w:rsidR="009365DF">
        <w:t xml:space="preserve"> and evaluation</w:t>
      </w:r>
      <w:r>
        <w:t xml:space="preserve"> of </w:t>
      </w:r>
      <w:r w:rsidR="00605771">
        <w:t>m</w:t>
      </w:r>
      <w:r w:rsidR="0091342A">
        <w:t>ental health and wellbeing services in youth justice settings</w:t>
      </w:r>
    </w:p>
    <w:p w14:paraId="61F131F6" w14:textId="477BBF26" w:rsidR="007F7F0E" w:rsidRDefault="00605771" w:rsidP="00E225B4">
      <w:pPr>
        <w:pStyle w:val="ListParagraph"/>
        <w:numPr>
          <w:ilvl w:val="0"/>
          <w:numId w:val="40"/>
        </w:numPr>
        <w:spacing w:before="120"/>
      </w:pPr>
      <w:r>
        <w:t>p</w:t>
      </w:r>
      <w:r w:rsidR="0091342A">
        <w:t>olicies and procedures that impact on the mental health and wellbeing of children and young people in youth justice settings.</w:t>
      </w:r>
    </w:p>
    <w:p w14:paraId="5F2B884A" w14:textId="77777777" w:rsidR="000E0248" w:rsidRDefault="000E0248">
      <w:pPr>
        <w:rPr>
          <w:b/>
          <w:bCs/>
          <w:color w:val="201547"/>
          <w:sz w:val="36"/>
          <w:szCs w:val="36"/>
        </w:rPr>
      </w:pPr>
      <w:r>
        <w:br w:type="page"/>
      </w:r>
    </w:p>
    <w:p w14:paraId="019D49B5" w14:textId="77777777" w:rsidR="002976ED" w:rsidRDefault="002976ED" w:rsidP="002976ED">
      <w:pPr>
        <w:pStyle w:val="Heading1-report"/>
        <w:ind w:left="720" w:firstLine="720"/>
        <w:rPr>
          <w:noProof/>
        </w:rPr>
      </w:pPr>
    </w:p>
    <w:p w14:paraId="1F50D899" w14:textId="04EC8B01" w:rsidR="00A9204B" w:rsidRDefault="004656EA" w:rsidP="002976ED">
      <w:pPr>
        <w:pStyle w:val="Heading1-report"/>
        <w:spacing w:before="0"/>
        <w:ind w:left="720" w:firstLine="720"/>
      </w:pPr>
      <w:r>
        <w:rPr>
          <w:noProof/>
        </w:rPr>
        <w:drawing>
          <wp:anchor distT="0" distB="0" distL="114300" distR="114300" simplePos="0" relativeHeight="251658286" behindDoc="0" locked="0" layoutInCell="1" allowOverlap="1" wp14:anchorId="45B6083C" wp14:editId="0C5D4E9C">
            <wp:simplePos x="0" y="0"/>
            <wp:positionH relativeFrom="margin">
              <wp:align>left</wp:align>
            </wp:positionH>
            <wp:positionV relativeFrom="paragraph">
              <wp:posOffset>4739</wp:posOffset>
            </wp:positionV>
            <wp:extent cx="663251" cy="541488"/>
            <wp:effectExtent l="0" t="0" r="3810" b="0"/>
            <wp:wrapNone/>
            <wp:docPr id="227" name="Picture 227"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descr="Scales of justice"/>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t="9238" b="9121"/>
                    <a:stretch/>
                  </pic:blipFill>
                  <pic:spPr bwMode="auto">
                    <a:xfrm>
                      <a:off x="0" y="0"/>
                      <a:ext cx="663251" cy="5414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204B">
        <w:t>Fair hearing (section 24)</w:t>
      </w:r>
    </w:p>
    <w:p w14:paraId="30CC7FA9" w14:textId="3995758D" w:rsidR="003F4080" w:rsidRDefault="00A9238A" w:rsidP="00A9238A">
      <w:r>
        <w:rPr>
          <w:noProof/>
        </w:rPr>
        <mc:AlternateContent>
          <mc:Choice Requires="wps">
            <w:drawing>
              <wp:anchor distT="45720" distB="45720" distL="114300" distR="114300" simplePos="0" relativeHeight="251658304" behindDoc="0" locked="0" layoutInCell="1" allowOverlap="1" wp14:anchorId="3F88C149" wp14:editId="5C95CFD7">
                <wp:simplePos x="0" y="0"/>
                <wp:positionH relativeFrom="margin">
                  <wp:align>right</wp:align>
                </wp:positionH>
                <wp:positionV relativeFrom="paragraph">
                  <wp:posOffset>485140</wp:posOffset>
                </wp:positionV>
                <wp:extent cx="5741670" cy="1404620"/>
                <wp:effectExtent l="0" t="0" r="11430" b="20320"/>
                <wp:wrapSquare wrapText="bothSides"/>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719" cy="1404620"/>
                        </a:xfrm>
                        <a:prstGeom prst="rect">
                          <a:avLst/>
                        </a:prstGeom>
                        <a:solidFill>
                          <a:srgbClr val="201547"/>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9658FA5" w14:textId="4EA025EE" w:rsidR="00A9238A" w:rsidRPr="00A9238A" w:rsidRDefault="00A9238A" w:rsidP="00A9238A">
                            <w:pPr>
                              <w:pStyle w:val="Heading3-report"/>
                              <w:rPr>
                                <w:color w:val="FFFFFF" w:themeColor="background1"/>
                              </w:rPr>
                            </w:pPr>
                            <w:r w:rsidRPr="00A9238A">
                              <w:rPr>
                                <w:color w:val="FFFFFF" w:themeColor="background1"/>
                              </w:rPr>
                              <w:t>Section 24 Fair hearing</w:t>
                            </w:r>
                          </w:p>
                          <w:p w14:paraId="5844935E" w14:textId="77777777" w:rsidR="00A9238A" w:rsidRPr="00A9238A" w:rsidRDefault="00A9238A" w:rsidP="00A9238A">
                            <w:pPr>
                              <w:rPr>
                                <w:color w:val="FFFFFF" w:themeColor="background1"/>
                              </w:rPr>
                            </w:pPr>
                            <w:r w:rsidRPr="00A9238A">
                              <w:rPr>
                                <w:color w:val="FFFFFF" w:themeColor="background1"/>
                              </w:rPr>
                              <w:t xml:space="preserve">(1) A person charged with a criminal offence or a party to a civil proceeding has the right to have the charge or proceeding decided by a competent, independent and impartial court or tribunal after a fair and public hearing. </w:t>
                            </w:r>
                          </w:p>
                          <w:p w14:paraId="59D6629A" w14:textId="77777777" w:rsidR="00A9238A" w:rsidRPr="00A9238A" w:rsidRDefault="00A9238A" w:rsidP="00A9238A">
                            <w:pPr>
                              <w:rPr>
                                <w:color w:val="FFFFFF" w:themeColor="background1"/>
                              </w:rPr>
                            </w:pPr>
                            <w:r w:rsidRPr="00A9238A">
                              <w:rPr>
                                <w:color w:val="FFFFFF" w:themeColor="background1"/>
                              </w:rPr>
                              <w:t xml:space="preserve">(2) Despite subsection (1), a court or tribunal may exclude members of media organisations or other persons or the general public from all or part of a hearing if permitted to do so by a law other than this Charter. </w:t>
                            </w:r>
                          </w:p>
                          <w:p w14:paraId="5907EA58" w14:textId="1FEC7DBB" w:rsidR="00A9238A" w:rsidRPr="00A9238A" w:rsidRDefault="00A9238A" w:rsidP="00A9238A">
                            <w:pPr>
                              <w:rPr>
                                <w:color w:val="FFFFFF" w:themeColor="background1"/>
                              </w:rPr>
                            </w:pPr>
                            <w:r w:rsidRPr="00A9238A">
                              <w:rPr>
                                <w:color w:val="FFFFFF" w:themeColor="background1"/>
                              </w:rPr>
                              <w:t>(3) All judgments or decisions made by a court or tribunal in a criminal or civil proceeding must be made public unless the best interests of a child otherwise requires or a law other than this Charter otherwise permits.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88C149" id="Text Box 266" o:spid="_x0000_s1058" type="#_x0000_t202" style="position:absolute;margin-left:400.9pt;margin-top:38.2pt;width:452.1pt;height:110.6pt;z-index:2516583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" fillcolor="#201547" strokecolor="#1b383a [1604]" strokeweight="1pt">
                <v:textbox style="mso-fit-shape-to-text:t">
                  <w:txbxContent>
                    <w:p w14:paraId="49658FA5" w14:textId="4EA025EE" w:rsidR="00A9238A" w:rsidRPr="00A9238A" w:rsidRDefault="00A9238A" w:rsidP="00A9238A">
                      <w:pPr>
                        <w:pStyle w:val="Heading3-report"/>
                        <w:rPr>
                          <w:color w:val="FFFFFF" w:themeColor="background1"/>
                        </w:rPr>
                      </w:pPr>
                      <w:r w:rsidRPr="00A9238A">
                        <w:rPr>
                          <w:color w:val="FFFFFF" w:themeColor="background1"/>
                        </w:rPr>
                        <w:t>Section 24 Fair hearing</w:t>
                      </w:r>
                    </w:p>
                    <w:p w14:paraId="5844935E" w14:textId="77777777" w:rsidR="00A9238A" w:rsidRPr="00A9238A" w:rsidRDefault="00A9238A" w:rsidP="00A9238A">
                      <w:pPr>
                        <w:rPr>
                          <w:color w:val="FFFFFF" w:themeColor="background1"/>
                        </w:rPr>
                      </w:pPr>
                      <w:r w:rsidRPr="00A9238A">
                        <w:rPr>
                          <w:color w:val="FFFFFF" w:themeColor="background1"/>
                        </w:rPr>
                        <w:t xml:space="preserve">(1) A person charged with a criminal offence or a party to a civil proceeding has the right to have the charge or proceeding decided by a competent, independent and impartial court or tribunal after a fair and public hearing. </w:t>
                      </w:r>
                    </w:p>
                    <w:p w14:paraId="59D6629A" w14:textId="77777777" w:rsidR="00A9238A" w:rsidRPr="00A9238A" w:rsidRDefault="00A9238A" w:rsidP="00A9238A">
                      <w:pPr>
                        <w:rPr>
                          <w:color w:val="FFFFFF" w:themeColor="background1"/>
                        </w:rPr>
                      </w:pPr>
                      <w:r w:rsidRPr="00A9238A">
                        <w:rPr>
                          <w:color w:val="FFFFFF" w:themeColor="background1"/>
                        </w:rPr>
                        <w:t xml:space="preserve">(2) Despite subsection (1), a court or tribunal may exclude members of media organisations or other persons or the general public from all or part of a hearing if permitted to do so by a law other than this Charter. </w:t>
                      </w:r>
                    </w:p>
                    <w:p w14:paraId="5907EA58" w14:textId="1FEC7DBB" w:rsidR="00A9238A" w:rsidRPr="00A9238A" w:rsidRDefault="00A9238A" w:rsidP="00A9238A">
                      <w:pPr>
                        <w:rPr>
                          <w:color w:val="FFFFFF" w:themeColor="background1"/>
                        </w:rPr>
                      </w:pPr>
                      <w:r w:rsidRPr="00A9238A">
                        <w:rPr>
                          <w:color w:val="FFFFFF" w:themeColor="background1"/>
                        </w:rPr>
                        <w:t>(3) All judgments or decisions made by a court or tribunal in a criminal or civil proceeding must be made public unless the best interests of a child otherwise requires or a law other than this Charter otherwise permits.</w:t>
                      </w:r>
                    </w:p>
                  </w:txbxContent>
                </v:textbox>
                <w10:wrap type="square" anchorx="margin"/>
              </v:shape>
            </w:pict>
          </mc:Fallback>
        </mc:AlternateContent>
      </w:r>
    </w:p>
    <w:p w14:paraId="3261D6F7" w14:textId="72745F06" w:rsidR="00A9238A" w:rsidRDefault="00773007" w:rsidP="00A9238A">
      <w:pPr>
        <w:pStyle w:val="BoldedRightsIntro"/>
      </w:pPr>
      <w:r w:rsidRPr="00BA68FD">
        <w:t xml:space="preserve">Mental health consumers </w:t>
      </w:r>
      <w:r w:rsidR="00BA68FD" w:rsidRPr="00BA68FD">
        <w:t>may participate in civil and criminal justice court proceedings. It is crucial that they enjoy a fair hearing that takes full account of their rights. This right is protected under the Charter.</w:t>
      </w:r>
    </w:p>
    <w:p w14:paraId="087B6E98" w14:textId="602F6C95" w:rsidR="00FF2D2F" w:rsidRDefault="00FF2D2F" w:rsidP="00FF2D2F">
      <w:pPr>
        <w:spacing w:before="120"/>
      </w:pPr>
      <w:r>
        <w:t>The right to a fair hearing applies to civil proceedings, including those before the Mental Health Tribunal.</w:t>
      </w:r>
      <w:r w:rsidRPr="0091262D">
        <w:rPr>
          <w:rStyle w:val="FootnoteReference"/>
        </w:rPr>
        <w:footnoteReference w:id="215"/>
      </w:r>
    </w:p>
    <w:p w14:paraId="024E7D49" w14:textId="77777777" w:rsidR="00FF2D2F" w:rsidRDefault="00FF2D2F" w:rsidP="00FF2D2F">
      <w:pPr>
        <w:spacing w:before="120"/>
      </w:pPr>
      <w:r>
        <w:t>The following factors have been identified as relevant to determining whether a court or tribunal is ‘competent, independent and impartial’:</w:t>
      </w:r>
    </w:p>
    <w:p w14:paraId="1829189D" w14:textId="77777777" w:rsidR="00FF2D2F" w:rsidRDefault="00FF2D2F" w:rsidP="00E225B4">
      <w:pPr>
        <w:pStyle w:val="ListParagraph"/>
        <w:numPr>
          <w:ilvl w:val="0"/>
          <w:numId w:val="26"/>
        </w:numPr>
        <w:spacing w:before="120"/>
      </w:pPr>
      <w:r>
        <w:t>It is established by law.</w:t>
      </w:r>
    </w:p>
    <w:p w14:paraId="7BA1F043" w14:textId="475834A8" w:rsidR="00FF2D2F" w:rsidRDefault="00FF2D2F" w:rsidP="00E225B4">
      <w:pPr>
        <w:pStyle w:val="ListParagraph"/>
        <w:numPr>
          <w:ilvl w:val="0"/>
          <w:numId w:val="26"/>
        </w:numPr>
        <w:spacing w:before="120"/>
      </w:pPr>
      <w:r>
        <w:t>It is independent of the executive and legislative branches of government, or has, in specific cases, judicial independence in deciding legal mat</w:t>
      </w:r>
      <w:r w:rsidR="008606B4">
        <w:t>t</w:t>
      </w:r>
      <w:r>
        <w:t>ers in judicial proceedings.</w:t>
      </w:r>
    </w:p>
    <w:p w14:paraId="0E8B3826" w14:textId="77777777" w:rsidR="00FF2D2F" w:rsidRDefault="00FF2D2F" w:rsidP="00E225B4">
      <w:pPr>
        <w:pStyle w:val="ListParagraph"/>
        <w:numPr>
          <w:ilvl w:val="0"/>
          <w:numId w:val="26"/>
        </w:numPr>
        <w:spacing w:before="120"/>
      </w:pPr>
      <w:r>
        <w:t>It is free to decide the factual and legal issues in a matter without interference.</w:t>
      </w:r>
    </w:p>
    <w:p w14:paraId="0DF5BC62" w14:textId="77777777" w:rsidR="00FF2D2F" w:rsidRDefault="00FF2D2F" w:rsidP="00E225B4">
      <w:pPr>
        <w:pStyle w:val="ListParagraph"/>
        <w:numPr>
          <w:ilvl w:val="0"/>
          <w:numId w:val="26"/>
        </w:numPr>
        <w:spacing w:before="120"/>
      </w:pPr>
      <w:r>
        <w:t>It has the function of deciding matters within its competence on the basis of rules of law, following prescribed proceedings.</w:t>
      </w:r>
    </w:p>
    <w:p w14:paraId="2748C662" w14:textId="77777777" w:rsidR="00FF2D2F" w:rsidRDefault="00FF2D2F" w:rsidP="00E225B4">
      <w:pPr>
        <w:pStyle w:val="ListParagraph"/>
        <w:numPr>
          <w:ilvl w:val="0"/>
          <w:numId w:val="26"/>
        </w:numPr>
        <w:spacing w:before="120"/>
      </w:pPr>
      <w:r>
        <w:t>It presents the appearance of independence.</w:t>
      </w:r>
    </w:p>
    <w:p w14:paraId="2DEF5BB8" w14:textId="77777777" w:rsidR="00FF2D2F" w:rsidRDefault="00FF2D2F" w:rsidP="00E225B4">
      <w:pPr>
        <w:pStyle w:val="ListParagraph"/>
        <w:numPr>
          <w:ilvl w:val="0"/>
          <w:numId w:val="26"/>
        </w:numPr>
        <w:spacing w:before="120"/>
      </w:pPr>
      <w:r>
        <w:t>Its officers have security of tenure.</w:t>
      </w:r>
      <w:r w:rsidRPr="0091262D">
        <w:rPr>
          <w:rStyle w:val="FootnoteReference"/>
        </w:rPr>
        <w:footnoteReference w:id="216"/>
      </w:r>
    </w:p>
    <w:p w14:paraId="2291B60E" w14:textId="1636995C" w:rsidR="00FF2D2F" w:rsidRDefault="00FF2D2F" w:rsidP="00FF2D2F">
      <w:pPr>
        <w:spacing w:before="120"/>
      </w:pPr>
      <w:r>
        <w:t>The right is about procedural fairness, not debates about the fairness of a decision or outcome. The Supreme Court has said that ‘</w:t>
      </w:r>
      <w:r w:rsidR="00D77FE0">
        <w:t>[w]</w:t>
      </w:r>
      <w:r>
        <w:t xml:space="preserve">hat fairness requires will depend on all the circumstances of the case. Broadly, it ensures a party has a reasonable opportunity to put their case in conditions that do not place them at a substantial disadvantage compared to </w:t>
      </w:r>
      <w:r>
        <w:lastRenderedPageBreak/>
        <w:t>their opponent’.</w:t>
      </w:r>
      <w:r w:rsidRPr="0091262D">
        <w:rPr>
          <w:rStyle w:val="FootnoteReference"/>
        </w:rPr>
        <w:footnoteReference w:id="217"/>
      </w:r>
      <w:r w:rsidR="00D77FE0">
        <w:t xml:space="preserve"> </w:t>
      </w:r>
      <w:r>
        <w:t>A fair hearing includes an opportunity to be informed of the opposing party’s case and to have an opportunity to respond.</w:t>
      </w:r>
      <w:r w:rsidRPr="0091262D">
        <w:rPr>
          <w:rStyle w:val="FootnoteReference"/>
        </w:rPr>
        <w:footnoteReference w:id="218"/>
      </w:r>
      <w:r>
        <w:t xml:space="preserve"> In giving a ‘reasonable opportunity’ the court will consider:</w:t>
      </w:r>
    </w:p>
    <w:p w14:paraId="4B01EDC9" w14:textId="77777777" w:rsidR="00FF2D2F" w:rsidRDefault="00FF2D2F" w:rsidP="00E225B4">
      <w:pPr>
        <w:pStyle w:val="ListParagraph"/>
        <w:numPr>
          <w:ilvl w:val="0"/>
          <w:numId w:val="27"/>
        </w:numPr>
        <w:spacing w:before="120"/>
      </w:pPr>
      <w:r>
        <w:t>the nature of the decision to be made</w:t>
      </w:r>
    </w:p>
    <w:p w14:paraId="240C026D" w14:textId="77777777" w:rsidR="00FF2D2F" w:rsidRDefault="00FF2D2F" w:rsidP="00E225B4">
      <w:pPr>
        <w:pStyle w:val="ListParagraph"/>
        <w:numPr>
          <w:ilvl w:val="0"/>
          <w:numId w:val="27"/>
        </w:numPr>
        <w:spacing w:before="120"/>
      </w:pPr>
      <w:r>
        <w:t>the nature and complexity of the issues in dispute</w:t>
      </w:r>
    </w:p>
    <w:p w14:paraId="7BC5D13B" w14:textId="77777777" w:rsidR="00FF2D2F" w:rsidRDefault="00FF2D2F" w:rsidP="00E225B4">
      <w:pPr>
        <w:pStyle w:val="ListParagraph"/>
        <w:numPr>
          <w:ilvl w:val="0"/>
          <w:numId w:val="27"/>
        </w:numPr>
        <w:spacing w:before="120"/>
      </w:pPr>
      <w:r>
        <w:t>the nature and complexity of the submissions which the party wishes to advance</w:t>
      </w:r>
    </w:p>
    <w:p w14:paraId="6EF8C921" w14:textId="77777777" w:rsidR="00FF2D2F" w:rsidRDefault="00FF2D2F" w:rsidP="00E225B4">
      <w:pPr>
        <w:pStyle w:val="ListParagraph"/>
        <w:numPr>
          <w:ilvl w:val="0"/>
          <w:numId w:val="27"/>
        </w:numPr>
        <w:spacing w:before="120"/>
      </w:pPr>
      <w:r>
        <w:t>the significance to that party of an adverse decision (‘what is at stake’), and</w:t>
      </w:r>
    </w:p>
    <w:p w14:paraId="5948EB33" w14:textId="77777777" w:rsidR="00FF2D2F" w:rsidRDefault="00FF2D2F" w:rsidP="00E225B4">
      <w:pPr>
        <w:pStyle w:val="ListParagraph"/>
        <w:numPr>
          <w:ilvl w:val="0"/>
          <w:numId w:val="27"/>
        </w:numPr>
        <w:spacing w:before="120"/>
      </w:pPr>
      <w:r>
        <w:t>the competing demands on the time and resources of the court or tribunal.</w:t>
      </w:r>
      <w:r w:rsidRPr="0091262D">
        <w:rPr>
          <w:rStyle w:val="FootnoteReference"/>
        </w:rPr>
        <w:footnoteReference w:id="219"/>
      </w:r>
    </w:p>
    <w:p w14:paraId="40DC9DB7" w14:textId="77777777" w:rsidR="009931A7" w:rsidRPr="00141503" w:rsidRDefault="00FF2D2F" w:rsidP="009931A7">
      <w:pPr>
        <w:spacing w:before="120"/>
        <w:rPr>
          <w:rFonts w:cstheme="minorHAnsi"/>
          <w:szCs w:val="24"/>
        </w:rPr>
      </w:pPr>
      <w:r>
        <w:t>The right to a fair hearing also includes access to relevant documents.</w:t>
      </w:r>
      <w:r w:rsidRPr="0091262D">
        <w:rPr>
          <w:rStyle w:val="FootnoteReference"/>
        </w:rPr>
        <w:footnoteReference w:id="220"/>
      </w:r>
      <w:r w:rsidR="009931A7">
        <w:t xml:space="preserve"> </w:t>
      </w:r>
      <w:r w:rsidR="009931A7" w:rsidRPr="6D69D0D5">
        <w:t>Subsection 2 of section 24 allows for courts and tribunals to exclude media or other people from a hearing if it is in the public interest or the interest of justice.</w:t>
      </w:r>
    </w:p>
    <w:p w14:paraId="5D73F93D" w14:textId="6A9B56E3" w:rsidR="00FF2D2F" w:rsidRDefault="009931A7" w:rsidP="009931A7">
      <w:pPr>
        <w:spacing w:before="120"/>
      </w:pPr>
      <w:r w:rsidRPr="00141503">
        <w:rPr>
          <w:rFonts w:cstheme="minorHAnsi"/>
          <w:szCs w:val="24"/>
        </w:rPr>
        <w:t>Subsection 3 states that judgments and decisions must be public, however, other laws may permit all or part of a judgement to be suppressed</w:t>
      </w:r>
    </w:p>
    <w:p w14:paraId="755B8496" w14:textId="7A8BEE2B" w:rsidR="008A6AF7" w:rsidRDefault="00E92AB6" w:rsidP="008A6AF7">
      <w:pPr>
        <w:pStyle w:val="Heading2-report"/>
      </w:pPr>
      <w:r>
        <w:t>Where</w:t>
      </w:r>
      <w:r w:rsidR="008A6AF7">
        <w:t xml:space="preserve"> this may be relevant to your work</w:t>
      </w:r>
    </w:p>
    <w:p w14:paraId="088FC570" w14:textId="0697CD4B" w:rsidR="008A6AF7" w:rsidRDefault="00562346" w:rsidP="008A6AF7">
      <w:r>
        <w:t>This right may be relevant w</w:t>
      </w:r>
      <w:r w:rsidR="008A6AF7">
        <w:t xml:space="preserve">here the Division </w:t>
      </w:r>
      <w:r w:rsidR="004842A2">
        <w:t xml:space="preserve">establishes policy settings and </w:t>
      </w:r>
      <w:r w:rsidR="009D17F3">
        <w:t xml:space="preserve">drafts laws that </w:t>
      </w:r>
      <w:r w:rsidR="008A6AF7">
        <w:t xml:space="preserve">direct the Mental Health Tribunal, </w:t>
      </w:r>
      <w:r>
        <w:t xml:space="preserve">or </w:t>
      </w:r>
      <w:r w:rsidR="001239E3">
        <w:t xml:space="preserve">where it works </w:t>
      </w:r>
      <w:r w:rsidR="00C8584B">
        <w:t xml:space="preserve">with others </w:t>
      </w:r>
      <w:r w:rsidR="00B16C1C">
        <w:t>across government</w:t>
      </w:r>
      <w:r w:rsidR="000B17D7">
        <w:t xml:space="preserve"> to</w:t>
      </w:r>
      <w:r w:rsidR="00B16C1C">
        <w:t xml:space="preserve"> </w:t>
      </w:r>
      <w:r w:rsidR="00C8584B">
        <w:t xml:space="preserve">provide advice about the funding and scope of </w:t>
      </w:r>
      <w:r>
        <w:t xml:space="preserve">the legal services that support consumers when </w:t>
      </w:r>
      <w:r w:rsidR="00093C43">
        <w:t>presenting before the Mental Health Tribunal.</w:t>
      </w:r>
      <w:r w:rsidR="00963DE0">
        <w:t xml:space="preserve"> It also applies to Mental Health Tribunal </w:t>
      </w:r>
      <w:r w:rsidR="00781A1B">
        <w:t xml:space="preserve">members and </w:t>
      </w:r>
      <w:r w:rsidR="00963DE0">
        <w:t xml:space="preserve">staff in making decisions and setting </w:t>
      </w:r>
      <w:r w:rsidR="00FD2650">
        <w:t>rules</w:t>
      </w:r>
      <w:r w:rsidR="007979E5" w:rsidRPr="0091262D">
        <w:rPr>
          <w:rStyle w:val="FootnoteReference"/>
        </w:rPr>
        <w:footnoteReference w:id="221"/>
      </w:r>
      <w:r w:rsidR="008F63D4">
        <w:t xml:space="preserve"> or setting practice guidelines and procedures</w:t>
      </w:r>
      <w:r w:rsidR="00963DE0">
        <w:t>.</w:t>
      </w:r>
      <w:r w:rsidR="00093C43">
        <w:t xml:space="preserve"> Examples include:</w:t>
      </w:r>
    </w:p>
    <w:p w14:paraId="770E31B6" w14:textId="028EC197" w:rsidR="00093C43" w:rsidRDefault="00FD2650" w:rsidP="00E225B4">
      <w:pPr>
        <w:pStyle w:val="ListParagraph"/>
        <w:numPr>
          <w:ilvl w:val="0"/>
          <w:numId w:val="48"/>
        </w:numPr>
      </w:pPr>
      <w:r>
        <w:t>f</w:t>
      </w:r>
      <w:r w:rsidR="008F63D4">
        <w:t xml:space="preserve">unding decisions by the Victorian Government on </w:t>
      </w:r>
      <w:r w:rsidR="00D000E4">
        <w:t xml:space="preserve">legal services to support people at Mental Health Tribunal </w:t>
      </w:r>
      <w:r w:rsidR="00DC7AFF">
        <w:t xml:space="preserve">matters and matters under the </w:t>
      </w:r>
      <w:r w:rsidR="00DC7AFF">
        <w:rPr>
          <w:i/>
          <w:iCs/>
        </w:rPr>
        <w:t xml:space="preserve">Crimes (Mental Impairment and Unfitness to be Tried) Act 1997 </w:t>
      </w:r>
      <w:r w:rsidR="00DC7AFF">
        <w:t>(Vic)</w:t>
      </w:r>
    </w:p>
    <w:p w14:paraId="6112D343" w14:textId="55CDB436" w:rsidR="00DC7AFF" w:rsidRDefault="004A36CB" w:rsidP="00E225B4">
      <w:pPr>
        <w:pStyle w:val="ListParagraph"/>
        <w:numPr>
          <w:ilvl w:val="0"/>
          <w:numId w:val="48"/>
        </w:numPr>
      </w:pPr>
      <w:r>
        <w:t>d</w:t>
      </w:r>
      <w:r w:rsidR="00D072D1">
        <w:t xml:space="preserve">eveloping and enforcing processes to ensure that evidence being relied upon by a treating team is provided to a mental health consumer </w:t>
      </w:r>
      <w:r w:rsidR="00CC033D">
        <w:t>before the 48-hour timeframe</w:t>
      </w:r>
    </w:p>
    <w:p w14:paraId="77038DF4" w14:textId="4F8751B6" w:rsidR="00E953A4" w:rsidRDefault="004A36CB" w:rsidP="00E225B4">
      <w:pPr>
        <w:pStyle w:val="ListParagraph"/>
        <w:numPr>
          <w:ilvl w:val="0"/>
          <w:numId w:val="48"/>
        </w:numPr>
      </w:pPr>
      <w:r>
        <w:t>d</w:t>
      </w:r>
      <w:r w:rsidR="00E953A4">
        <w:t>eveloping and enforcing processes to ensure that urgent electroconvulsive treatment hearing are used appropriately and do not undermine the right to a fair hearing</w:t>
      </w:r>
      <w:r w:rsidR="00C93B82">
        <w:t xml:space="preserve"> by limiting access to evidence and a lawyer</w:t>
      </w:r>
    </w:p>
    <w:p w14:paraId="70C3B69C" w14:textId="155681A5" w:rsidR="00C93B82" w:rsidRPr="008A6AF7" w:rsidRDefault="004A36CB" w:rsidP="00E225B4">
      <w:pPr>
        <w:pStyle w:val="ListParagraph"/>
        <w:numPr>
          <w:ilvl w:val="0"/>
          <w:numId w:val="48"/>
        </w:numPr>
      </w:pPr>
      <w:r>
        <w:t>d</w:t>
      </w:r>
      <w:r w:rsidR="00C93B82">
        <w:t xml:space="preserve">eveloping indicators on Mental Health Tribunal performance </w:t>
      </w:r>
      <w:r w:rsidR="009931A7">
        <w:t>as they relate to a fair hearing and other duties such as to properly consider and comply with Charter rights.</w:t>
      </w:r>
    </w:p>
    <w:p w14:paraId="23123629" w14:textId="4C498139" w:rsidR="00E51BE0" w:rsidRDefault="00E51BE0" w:rsidP="0C85D5A8">
      <w:pPr>
        <w:spacing w:before="120"/>
        <w:sectPr w:rsidR="00E51BE0" w:rsidSect="00271E88">
          <w:pgSz w:w="11906" w:h="16838"/>
          <w:pgMar w:top="1440" w:right="1418" w:bottom="1440" w:left="1418" w:header="708" w:footer="708" w:gutter="0"/>
          <w:cols w:space="708"/>
          <w:titlePg/>
          <w:docGrid w:linePitch="360"/>
        </w:sectPr>
      </w:pPr>
    </w:p>
    <w:p w14:paraId="32E47989" w14:textId="36C0B8CF" w:rsidR="0060452E" w:rsidRDefault="0060452E" w:rsidP="0060452E">
      <w:pPr>
        <w:pStyle w:val="Heading1-report"/>
        <w:spacing w:before="0"/>
      </w:pPr>
      <w:r>
        <w:lastRenderedPageBreak/>
        <w:tab/>
      </w:r>
      <w:r>
        <w:rPr>
          <w:noProof/>
        </w:rPr>
        <mc:AlternateContent>
          <mc:Choice Requires="wps">
            <w:drawing>
              <wp:anchor distT="0" distB="0" distL="114300" distR="114300" simplePos="0" relativeHeight="251658279" behindDoc="1" locked="0" layoutInCell="1" allowOverlap="1" wp14:anchorId="260A90E9" wp14:editId="0DE9D6AA">
                <wp:simplePos x="0" y="0"/>
                <wp:positionH relativeFrom="page">
                  <wp:align>left</wp:align>
                </wp:positionH>
                <wp:positionV relativeFrom="paragraph">
                  <wp:posOffset>-901811</wp:posOffset>
                </wp:positionV>
                <wp:extent cx="10693593" cy="7952874"/>
                <wp:effectExtent l="0" t="0" r="12700" b="10160"/>
                <wp:wrapNone/>
                <wp:docPr id="304" name="Rectangle 304"/>
                <wp:cNvGraphicFramePr/>
                <a:graphic xmlns:a="http://schemas.openxmlformats.org/drawingml/2006/main">
                  <a:graphicData uri="http://schemas.microsoft.com/office/word/2010/wordprocessingShape">
                    <wps:wsp>
                      <wps:cNvSpPr/>
                      <wps:spPr>
                        <a:xfrm>
                          <a:off x="0" y="0"/>
                          <a:ext cx="10693593" cy="7952874"/>
                        </a:xfrm>
                        <a:prstGeom prst="rect">
                          <a:avLst/>
                        </a:prstGeom>
                        <a:solidFill>
                          <a:srgbClr val="D0E8E9"/>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C37176" w14:textId="77777777" w:rsidR="0060452E" w:rsidRDefault="0060452E" w:rsidP="006045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A90E9" id="Rectangle 304" o:spid="_x0000_s1059" style="position:absolute;margin-left:0;margin-top:-71pt;width:842pt;height:626.2pt;z-index:-25165820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" fillcolor="#d0e8e9" strokecolor="#1b383a [1604]" strokeweight="1pt">
                <v:textbox>
                  <w:txbxContent>
                    <w:p w14:paraId="26C37176" w14:textId="77777777" w:rsidR="0060452E" w:rsidRDefault="0060452E" w:rsidP="0060452E">
                      <w:pPr>
                        <w:jc w:val="center"/>
                      </w:pPr>
                    </w:p>
                  </w:txbxContent>
                </v:textbox>
                <w10:wrap anchorx="page"/>
              </v:rect>
            </w:pict>
          </mc:Fallback>
        </mc:AlternateContent>
      </w:r>
      <w:r>
        <w:t>TAKE-HOMES: RIGHT TO A FAIR HEARING</w:t>
      </w:r>
    </w:p>
    <w:tbl>
      <w:tblPr>
        <w:tblStyle w:val="TableGridLight"/>
        <w:tblW w:w="15446" w:type="dxa"/>
        <w:tblCellMar>
          <w:bottom w:w="284" w:type="dxa"/>
        </w:tblCellMar>
        <w:tblLook w:val="04A0" w:firstRow="1" w:lastRow="0" w:firstColumn="1" w:lastColumn="0" w:noHBand="0" w:noVBand="1"/>
      </w:tblPr>
      <w:tblGrid>
        <w:gridCol w:w="1056"/>
        <w:gridCol w:w="6373"/>
        <w:gridCol w:w="1056"/>
        <w:gridCol w:w="6961"/>
      </w:tblGrid>
      <w:tr w:rsidR="0060452E" w14:paraId="645A6FD9" w14:textId="77777777" w:rsidTr="0C85D5A8">
        <w:tc>
          <w:tcPr>
            <w:tcW w:w="1056" w:type="dxa"/>
          </w:tcPr>
          <w:p w14:paraId="0217430E" w14:textId="77777777" w:rsidR="0060452E" w:rsidRDefault="0060452E" w:rsidP="004F4360">
            <w:r>
              <w:rPr>
                <w:noProof/>
              </w:rPr>
              <w:drawing>
                <wp:inline distT="0" distB="0" distL="0" distR="0" wp14:anchorId="2A04EF10" wp14:editId="1A53F309">
                  <wp:extent cx="526774" cy="526774"/>
                  <wp:effectExtent l="0" t="0" r="6985" b="6985"/>
                  <wp:docPr id="305" name="Graphic 305"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6373" w:type="dxa"/>
          </w:tcPr>
          <w:p w14:paraId="51743219" w14:textId="61CF4EBE" w:rsidR="0060452E" w:rsidRDefault="00E73286" w:rsidP="004F4360">
            <w:pPr>
              <w:pStyle w:val="Heading3-report"/>
            </w:pPr>
            <w:r>
              <w:t>Communicate information and disclosure obligations to services and the Tribunal</w:t>
            </w:r>
          </w:p>
          <w:p w14:paraId="71B2C3E5" w14:textId="073C8ED6" w:rsidR="0060452E" w:rsidRPr="002C799B" w:rsidRDefault="00E73286" w:rsidP="004F4360">
            <w:r>
              <w:t xml:space="preserve">Concerns have been raised about the timeliness of </w:t>
            </w:r>
            <w:r w:rsidR="00942368">
              <w:t>Tribunal reports being provided to mental health consumers and lawyers.</w:t>
            </w:r>
            <w:r w:rsidR="008C2C11" w:rsidRPr="0091262D">
              <w:rPr>
                <w:rStyle w:val="FootnoteReference"/>
              </w:rPr>
              <w:footnoteReference w:id="222"/>
            </w:r>
            <w:r w:rsidR="00942368">
              <w:t xml:space="preserve"> You can reiterate that these duties may assist with compliance and a fair hearing.</w:t>
            </w:r>
          </w:p>
          <w:p w14:paraId="72121EBA" w14:textId="77777777" w:rsidR="0060452E" w:rsidRPr="006F6EC8" w:rsidRDefault="0060452E" w:rsidP="004F4360"/>
        </w:tc>
        <w:tc>
          <w:tcPr>
            <w:tcW w:w="1056" w:type="dxa"/>
          </w:tcPr>
          <w:p w14:paraId="3C31AD32" w14:textId="77777777" w:rsidR="0060452E" w:rsidRDefault="0060452E" w:rsidP="004F4360">
            <w:r>
              <w:rPr>
                <w:noProof/>
              </w:rPr>
              <w:drawing>
                <wp:inline distT="0" distB="0" distL="0" distR="0" wp14:anchorId="219F58EB" wp14:editId="7922EF22">
                  <wp:extent cx="526774" cy="526774"/>
                  <wp:effectExtent l="0" t="0" r="6985" b="6985"/>
                  <wp:docPr id="306" name="Graphic 306"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6961" w:type="dxa"/>
          </w:tcPr>
          <w:p w14:paraId="58CE3918" w14:textId="0AF17EAA" w:rsidR="0060452E" w:rsidRDefault="00165192" w:rsidP="004F4360">
            <w:pPr>
              <w:pStyle w:val="Heading3-report"/>
            </w:pPr>
            <w:r>
              <w:t>Communicate expectations on urgent hearings</w:t>
            </w:r>
          </w:p>
          <w:p w14:paraId="7A713711" w14:textId="53989B4B" w:rsidR="0060452E" w:rsidRPr="00861362" w:rsidRDefault="00165192" w:rsidP="004F4360">
            <w:r>
              <w:t>Concerns have also been raised about the inappropriate use of urgent electroconvulsive treatment hearings to by-pass other legal protections</w:t>
            </w:r>
            <w:r w:rsidR="0060452E">
              <w:t>.</w:t>
            </w:r>
            <w:r w:rsidR="00C17B9C" w:rsidRPr="0091262D">
              <w:rPr>
                <w:rStyle w:val="FootnoteReference"/>
              </w:rPr>
              <w:footnoteReference w:id="223"/>
            </w:r>
            <w:r w:rsidR="00C17B9C">
              <w:t xml:space="preserve"> This impacts on the ability of consumers to get access to the evidence being </w:t>
            </w:r>
            <w:r w:rsidR="00EF4DF1">
              <w:t>used by mental health services and accessing a lawyer. Reiterating these duties to mental health services and the Tribunal may assist compliance and ensure a fair hearing.</w:t>
            </w:r>
          </w:p>
        </w:tc>
      </w:tr>
      <w:tr w:rsidR="00F342EF" w14:paraId="287EDDAA" w14:textId="77777777" w:rsidTr="0C85D5A8">
        <w:tc>
          <w:tcPr>
            <w:tcW w:w="1056" w:type="dxa"/>
            <w:shd w:val="clear" w:color="auto" w:fill="auto"/>
          </w:tcPr>
          <w:p w14:paraId="7C81CE97" w14:textId="77777777" w:rsidR="00F342EF" w:rsidRDefault="00F342EF" w:rsidP="00F342EF">
            <w:r>
              <w:rPr>
                <w:noProof/>
              </w:rPr>
              <w:drawing>
                <wp:inline distT="0" distB="0" distL="0" distR="0" wp14:anchorId="4C3CDB4B" wp14:editId="55B5B478">
                  <wp:extent cx="526774" cy="526774"/>
                  <wp:effectExtent l="0" t="0" r="6985" b="6985"/>
                  <wp:docPr id="307" name="Graphic 307"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Badge Tick1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0705" cy="530705"/>
                          </a:xfrm>
                          <a:prstGeom prst="rect">
                            <a:avLst/>
                          </a:prstGeom>
                        </pic:spPr>
                      </pic:pic>
                    </a:graphicData>
                  </a:graphic>
                </wp:inline>
              </w:drawing>
            </w:r>
          </w:p>
        </w:tc>
        <w:tc>
          <w:tcPr>
            <w:tcW w:w="6373" w:type="dxa"/>
          </w:tcPr>
          <w:p w14:paraId="1ADF733D" w14:textId="59CD39F9" w:rsidR="00F342EF" w:rsidRDefault="00F342EF" w:rsidP="00F342EF">
            <w:pPr>
              <w:pStyle w:val="Heading3-report"/>
            </w:pPr>
            <w:r>
              <w:t>Ensure adequate funding for legal services</w:t>
            </w:r>
          </w:p>
          <w:p w14:paraId="0954B2B8" w14:textId="5BB2EECF" w:rsidR="00F342EF" w:rsidRPr="001075F7" w:rsidRDefault="00F342EF" w:rsidP="00F342EF">
            <w:r>
              <w:t>Ensuring individuals who are subject to treatment orders have access to timely legal advice and representation will assist with the right to a fair hearing.</w:t>
            </w:r>
          </w:p>
          <w:p w14:paraId="1159023B" w14:textId="77777777" w:rsidR="00F342EF" w:rsidRPr="00271054" w:rsidRDefault="00F342EF" w:rsidP="00F342EF"/>
        </w:tc>
        <w:tc>
          <w:tcPr>
            <w:tcW w:w="1056" w:type="dxa"/>
          </w:tcPr>
          <w:p w14:paraId="1EB74C8E" w14:textId="1084DD33" w:rsidR="00F342EF" w:rsidRDefault="00F342EF" w:rsidP="00F342EF"/>
        </w:tc>
        <w:tc>
          <w:tcPr>
            <w:tcW w:w="6961" w:type="dxa"/>
          </w:tcPr>
          <w:p w14:paraId="7900A31F" w14:textId="3F6AF699" w:rsidR="00F342EF" w:rsidRPr="00796694" w:rsidRDefault="00F342EF" w:rsidP="00F342EF"/>
        </w:tc>
      </w:tr>
    </w:tbl>
    <w:p w14:paraId="0CB47F11" w14:textId="77777777" w:rsidR="00E51BE0" w:rsidRDefault="00E51BE0" w:rsidP="00FF2D2F">
      <w:pPr>
        <w:spacing w:before="120"/>
        <w:rPr>
          <w:rFonts w:cstheme="minorHAnsi"/>
          <w:szCs w:val="24"/>
        </w:rPr>
        <w:sectPr w:rsidR="00E51BE0" w:rsidSect="00E51BE0">
          <w:pgSz w:w="16838" w:h="11906" w:orient="landscape"/>
          <w:pgMar w:top="720" w:right="720" w:bottom="720" w:left="720" w:header="708" w:footer="708" w:gutter="0"/>
          <w:cols w:space="708"/>
          <w:titlePg/>
          <w:docGrid w:linePitch="360"/>
        </w:sectPr>
      </w:pPr>
    </w:p>
    <w:p w14:paraId="28FCE903" w14:textId="5AE6B26F" w:rsidR="00CF3F49" w:rsidRDefault="004656EA" w:rsidP="002976ED">
      <w:pPr>
        <w:pStyle w:val="Heading1-report"/>
        <w:spacing w:before="0"/>
        <w:ind w:left="1440"/>
      </w:pPr>
      <w:r>
        <w:rPr>
          <w:noProof/>
        </w:rPr>
        <w:lastRenderedPageBreak/>
        <w:drawing>
          <wp:anchor distT="0" distB="0" distL="114300" distR="114300" simplePos="0" relativeHeight="251658287" behindDoc="0" locked="0" layoutInCell="1" allowOverlap="1" wp14:anchorId="4CEDB3BB" wp14:editId="3F5768A9">
            <wp:simplePos x="0" y="0"/>
            <wp:positionH relativeFrom="margin">
              <wp:align>left</wp:align>
            </wp:positionH>
            <wp:positionV relativeFrom="paragraph">
              <wp:posOffset>38100</wp:posOffset>
            </wp:positionV>
            <wp:extent cx="615043" cy="615043"/>
            <wp:effectExtent l="0" t="0" r="0" b="0"/>
            <wp:wrapNone/>
            <wp:docPr id="235" name="Picture 235" descr="Gavel in front of person who is under the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Gavel in front of person who is under the microscope"/>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15967" cy="6159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04B">
        <w:t>Rights in criminal proceedings (section 25)</w:t>
      </w:r>
    </w:p>
    <w:p w14:paraId="042E9A18" w14:textId="311F8745" w:rsidR="004656EA" w:rsidRPr="004656EA" w:rsidRDefault="00CF3F49" w:rsidP="004D3D41">
      <w:r>
        <w:rPr>
          <w:noProof/>
        </w:rPr>
        <mc:AlternateContent>
          <mc:Choice Requires="wps">
            <w:drawing>
              <wp:anchor distT="45720" distB="45720" distL="114300" distR="114300" simplePos="0" relativeHeight="251658305" behindDoc="0" locked="0" layoutInCell="1" allowOverlap="1" wp14:anchorId="72115B0F" wp14:editId="7A53464A">
                <wp:simplePos x="0" y="0"/>
                <wp:positionH relativeFrom="margin">
                  <wp:align>left</wp:align>
                </wp:positionH>
                <wp:positionV relativeFrom="paragraph">
                  <wp:posOffset>256317</wp:posOffset>
                </wp:positionV>
                <wp:extent cx="5741670" cy="1404620"/>
                <wp:effectExtent l="0" t="0" r="11430" b="13970"/>
                <wp:wrapSquare wrapText="bothSides"/>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1404620"/>
                        </a:xfrm>
                        <a:prstGeom prst="rect">
                          <a:avLst/>
                        </a:prstGeom>
                        <a:solidFill>
                          <a:srgbClr val="201547"/>
                        </a:solidFill>
                        <a:ln w="9525">
                          <a:solidFill>
                            <a:srgbClr val="000000"/>
                          </a:solidFill>
                          <a:miter lim="800000"/>
                          <a:headEnd/>
                          <a:tailEnd/>
                        </a:ln>
                      </wps:spPr>
                      <wps:txbx>
                        <w:txbxContent>
                          <w:p w14:paraId="1A19E645" w14:textId="41C0E844" w:rsidR="00CF3F49" w:rsidRPr="00CF3F49" w:rsidRDefault="00CF3F49" w:rsidP="00CF3F49">
                            <w:pPr>
                              <w:pStyle w:val="Heading3-report"/>
                              <w:rPr>
                                <w:color w:val="FFFFFF" w:themeColor="background1"/>
                                <w:sz w:val="24"/>
                                <w:szCs w:val="24"/>
                              </w:rPr>
                            </w:pPr>
                            <w:r w:rsidRPr="00CF3F49">
                              <w:rPr>
                                <w:color w:val="FFFFFF" w:themeColor="background1"/>
                                <w:sz w:val="24"/>
                                <w:szCs w:val="24"/>
                              </w:rPr>
                              <w:t>Section 25 Rights in criminal proceedings</w:t>
                            </w:r>
                          </w:p>
                          <w:p w14:paraId="6EA3AA4C" w14:textId="77777777" w:rsidR="00CF3F49" w:rsidRPr="00CF3F49" w:rsidRDefault="00CF3F49" w:rsidP="00CF3F49">
                            <w:pPr>
                              <w:rPr>
                                <w:color w:val="FFFFFF" w:themeColor="background1"/>
                                <w:sz w:val="22"/>
                                <w:szCs w:val="20"/>
                              </w:rPr>
                            </w:pPr>
                            <w:r w:rsidRPr="00CF3F49">
                              <w:rPr>
                                <w:color w:val="FFFFFF" w:themeColor="background1"/>
                                <w:sz w:val="22"/>
                                <w:szCs w:val="20"/>
                              </w:rPr>
                              <w:t xml:space="preserve">(1) A person charged with a criminal offence has the right to be presumed innocent until proved guilty according to law. </w:t>
                            </w:r>
                          </w:p>
                          <w:p w14:paraId="17C91F85" w14:textId="77777777" w:rsidR="00CF3F49" w:rsidRPr="00CF3F49" w:rsidRDefault="00CF3F49" w:rsidP="00CF3F49">
                            <w:pPr>
                              <w:rPr>
                                <w:color w:val="FFFFFF" w:themeColor="background1"/>
                                <w:sz w:val="22"/>
                                <w:szCs w:val="20"/>
                              </w:rPr>
                            </w:pPr>
                            <w:r w:rsidRPr="00CF3F49">
                              <w:rPr>
                                <w:color w:val="FFFFFF" w:themeColor="background1"/>
                                <w:sz w:val="22"/>
                                <w:szCs w:val="20"/>
                              </w:rPr>
                              <w:t xml:space="preserve">(2) A person charged with a criminal offence is entitled without discrimination to the following minimum guarantees— </w:t>
                            </w:r>
                          </w:p>
                          <w:p w14:paraId="19CAF92D" w14:textId="77777777" w:rsidR="00CF3F49" w:rsidRPr="00CF3F49" w:rsidRDefault="00CF3F49" w:rsidP="00CF3F49">
                            <w:pPr>
                              <w:ind w:left="720"/>
                              <w:rPr>
                                <w:color w:val="FFFFFF" w:themeColor="background1"/>
                                <w:sz w:val="22"/>
                                <w:szCs w:val="20"/>
                              </w:rPr>
                            </w:pPr>
                            <w:r w:rsidRPr="00CF3F49">
                              <w:rPr>
                                <w:color w:val="FFFFFF" w:themeColor="background1"/>
                                <w:sz w:val="22"/>
                                <w:szCs w:val="20"/>
                              </w:rPr>
                              <w:t xml:space="preserve">(a) to be informed promptly and in detail of the nature and reason for the charge in a language or, if necessary, a type of communication that that person speaks or understands; and </w:t>
                            </w:r>
                          </w:p>
                          <w:p w14:paraId="1AC5EE3E" w14:textId="77777777" w:rsidR="00CF3F49" w:rsidRPr="00CF3F49" w:rsidRDefault="00CF3F49" w:rsidP="00CF3F49">
                            <w:pPr>
                              <w:ind w:left="720"/>
                              <w:rPr>
                                <w:color w:val="FFFFFF" w:themeColor="background1"/>
                                <w:sz w:val="22"/>
                                <w:szCs w:val="20"/>
                              </w:rPr>
                            </w:pPr>
                            <w:r w:rsidRPr="00CF3F49">
                              <w:rPr>
                                <w:color w:val="FFFFFF" w:themeColor="background1"/>
                                <w:sz w:val="22"/>
                                <w:szCs w:val="20"/>
                              </w:rPr>
                              <w:t xml:space="preserve">(b) to have adequate time and facilities to prepare their defence and to communicate with a lawyer or advisor chosen by that person; and </w:t>
                            </w:r>
                          </w:p>
                          <w:p w14:paraId="36519186" w14:textId="77777777" w:rsidR="00CF3F49" w:rsidRPr="00CF3F49" w:rsidRDefault="00CF3F49" w:rsidP="00CF3F49">
                            <w:pPr>
                              <w:ind w:left="720"/>
                              <w:rPr>
                                <w:color w:val="FFFFFF" w:themeColor="background1"/>
                                <w:sz w:val="22"/>
                                <w:szCs w:val="20"/>
                              </w:rPr>
                            </w:pPr>
                            <w:r w:rsidRPr="00CF3F49">
                              <w:rPr>
                                <w:color w:val="FFFFFF" w:themeColor="background1"/>
                                <w:sz w:val="22"/>
                                <w:szCs w:val="20"/>
                              </w:rPr>
                              <w:t xml:space="preserve">(c) to be tried without unreasonable delay; and  </w:t>
                            </w:r>
                          </w:p>
                          <w:p w14:paraId="724882B7" w14:textId="77777777" w:rsidR="00CF3F49" w:rsidRPr="00CF3F49" w:rsidRDefault="00CF3F49" w:rsidP="00CF3F49">
                            <w:pPr>
                              <w:ind w:left="720"/>
                              <w:rPr>
                                <w:color w:val="FFFFFF" w:themeColor="background1"/>
                                <w:sz w:val="22"/>
                                <w:szCs w:val="20"/>
                              </w:rPr>
                            </w:pPr>
                            <w:r w:rsidRPr="00CF3F49">
                              <w:rPr>
                                <w:color w:val="FFFFFF" w:themeColor="background1"/>
                                <w:sz w:val="22"/>
                                <w:szCs w:val="20"/>
                              </w:rPr>
                              <w:t xml:space="preserve">(d) to be tried in person, and to defend themselves personally or through legal assistance chosen by that person or, if eligible, through legal aid provided by Victoria Legal Aid under the Legal Aid Act 1978; and  </w:t>
                            </w:r>
                          </w:p>
                          <w:p w14:paraId="62CB99CB" w14:textId="77777777" w:rsidR="00CF3F49" w:rsidRPr="00CF3F49" w:rsidRDefault="00CF3F49" w:rsidP="00CF3F49">
                            <w:pPr>
                              <w:ind w:left="720"/>
                              <w:rPr>
                                <w:color w:val="FFFFFF" w:themeColor="background1"/>
                                <w:sz w:val="22"/>
                                <w:szCs w:val="20"/>
                              </w:rPr>
                            </w:pPr>
                            <w:r w:rsidRPr="00CF3F49">
                              <w:rPr>
                                <w:color w:val="FFFFFF" w:themeColor="background1"/>
                                <w:sz w:val="22"/>
                                <w:szCs w:val="20"/>
                              </w:rPr>
                              <w:t xml:space="preserve">(e) to be told, if that person does not have legal assistance, about the right, if eligible, to legal aid under the Legal Aid Act 1978; and  </w:t>
                            </w:r>
                          </w:p>
                          <w:p w14:paraId="37D7EF91" w14:textId="77777777" w:rsidR="00CF3F49" w:rsidRPr="00CF3F49" w:rsidRDefault="00CF3F49" w:rsidP="00CF3F49">
                            <w:pPr>
                              <w:ind w:left="720"/>
                              <w:rPr>
                                <w:color w:val="FFFFFF" w:themeColor="background1"/>
                                <w:sz w:val="22"/>
                                <w:szCs w:val="20"/>
                              </w:rPr>
                            </w:pPr>
                            <w:r w:rsidRPr="00CF3F49">
                              <w:rPr>
                                <w:color w:val="FFFFFF" w:themeColor="background1"/>
                                <w:sz w:val="22"/>
                                <w:szCs w:val="20"/>
                              </w:rPr>
                              <w:t xml:space="preserve">(f) to have legal aid provided if the interests of justice require it, without any costs payable by that person if the person meets the eligibility criteria set out in the Legal Aid Act 1978; and  </w:t>
                            </w:r>
                          </w:p>
                          <w:p w14:paraId="720E59F3" w14:textId="77777777" w:rsidR="00CF3F49" w:rsidRPr="00CF3F49" w:rsidRDefault="00CF3F49" w:rsidP="00CF3F49">
                            <w:pPr>
                              <w:ind w:left="720"/>
                              <w:rPr>
                                <w:color w:val="FFFFFF" w:themeColor="background1"/>
                                <w:sz w:val="22"/>
                                <w:szCs w:val="20"/>
                              </w:rPr>
                            </w:pPr>
                            <w:r w:rsidRPr="00CF3F49">
                              <w:rPr>
                                <w:color w:val="FFFFFF" w:themeColor="background1"/>
                                <w:sz w:val="22"/>
                                <w:szCs w:val="20"/>
                              </w:rPr>
                              <w:t xml:space="preserve">(g) to examine, or have examined, witnesses against that person, unless otherwise provided for by law; and  </w:t>
                            </w:r>
                          </w:p>
                          <w:p w14:paraId="2B9DBC09" w14:textId="77777777" w:rsidR="00CF3F49" w:rsidRPr="00CF3F49" w:rsidRDefault="00CF3F49" w:rsidP="00CF3F49">
                            <w:pPr>
                              <w:ind w:left="720"/>
                              <w:rPr>
                                <w:color w:val="FFFFFF" w:themeColor="background1"/>
                                <w:sz w:val="22"/>
                                <w:szCs w:val="20"/>
                              </w:rPr>
                            </w:pPr>
                            <w:r w:rsidRPr="00CF3F49">
                              <w:rPr>
                                <w:color w:val="FFFFFF" w:themeColor="background1"/>
                                <w:sz w:val="22"/>
                                <w:szCs w:val="20"/>
                              </w:rPr>
                              <w:t xml:space="preserve">(h) to obtain the attendance and examination of witnesses on that person's behalf under the same conditions as witnesses for the prosecution; and  </w:t>
                            </w:r>
                          </w:p>
                          <w:p w14:paraId="5D436961" w14:textId="77777777" w:rsidR="00CF3F49" w:rsidRPr="00CF3F49" w:rsidRDefault="00CF3F49" w:rsidP="00CF3F49">
                            <w:pPr>
                              <w:ind w:left="720"/>
                              <w:rPr>
                                <w:color w:val="FFFFFF" w:themeColor="background1"/>
                                <w:sz w:val="22"/>
                                <w:szCs w:val="20"/>
                              </w:rPr>
                            </w:pPr>
                            <w:r w:rsidRPr="00CF3F49">
                              <w:rPr>
                                <w:color w:val="FFFFFF" w:themeColor="background1"/>
                                <w:sz w:val="22"/>
                                <w:szCs w:val="20"/>
                              </w:rPr>
                              <w:t xml:space="preserve">(i) to have the free assistance of an interpreter if that person cannot understand or speak English; and </w:t>
                            </w:r>
                          </w:p>
                          <w:p w14:paraId="7E2E8C58" w14:textId="77777777" w:rsidR="00CF3F49" w:rsidRPr="00CF3F49" w:rsidRDefault="00CF3F49" w:rsidP="00CF3F49">
                            <w:pPr>
                              <w:ind w:left="720"/>
                              <w:rPr>
                                <w:color w:val="FFFFFF" w:themeColor="background1"/>
                                <w:sz w:val="22"/>
                                <w:szCs w:val="20"/>
                              </w:rPr>
                            </w:pPr>
                            <w:r w:rsidRPr="00CF3F49">
                              <w:rPr>
                                <w:color w:val="FFFFFF" w:themeColor="background1"/>
                                <w:sz w:val="22"/>
                                <w:szCs w:val="20"/>
                              </w:rPr>
                              <w:t xml:space="preserve">(j) to have the free assistance of assistants and specialised communication tools and technology if that person has communication or speech difficulties that require such assistance; and  </w:t>
                            </w:r>
                          </w:p>
                          <w:p w14:paraId="5ACB1191" w14:textId="77777777" w:rsidR="00CF3F49" w:rsidRPr="00CF3F49" w:rsidRDefault="00CF3F49" w:rsidP="00CF3F49">
                            <w:pPr>
                              <w:ind w:left="720"/>
                              <w:rPr>
                                <w:color w:val="FFFFFF" w:themeColor="background1"/>
                                <w:sz w:val="22"/>
                                <w:szCs w:val="20"/>
                              </w:rPr>
                            </w:pPr>
                            <w:r w:rsidRPr="00CF3F49">
                              <w:rPr>
                                <w:color w:val="FFFFFF" w:themeColor="background1"/>
                                <w:sz w:val="22"/>
                                <w:szCs w:val="20"/>
                              </w:rPr>
                              <w:t xml:space="preserve">(k) not to be compelled to testify against themselves or to confess guilt.  </w:t>
                            </w:r>
                          </w:p>
                          <w:p w14:paraId="3B6DBC6C" w14:textId="77777777" w:rsidR="00CF3F49" w:rsidRPr="00CF3F49" w:rsidRDefault="00CF3F49" w:rsidP="00CF3F49">
                            <w:pPr>
                              <w:rPr>
                                <w:color w:val="FFFFFF" w:themeColor="background1"/>
                                <w:sz w:val="22"/>
                                <w:szCs w:val="20"/>
                              </w:rPr>
                            </w:pPr>
                            <w:r w:rsidRPr="00CF3F49">
                              <w:rPr>
                                <w:color w:val="FFFFFF" w:themeColor="background1"/>
                                <w:sz w:val="22"/>
                                <w:szCs w:val="20"/>
                              </w:rPr>
                              <w:t xml:space="preserve">(3) A child charged with a criminal offence has the right to a procedure that takes account of that child's age and the desirability of promoting the child's rehabilitation. </w:t>
                            </w:r>
                          </w:p>
                          <w:p w14:paraId="57B81B93" w14:textId="118F4E70" w:rsidR="00CF3F49" w:rsidRPr="00CF3F49" w:rsidRDefault="00CF3F49" w:rsidP="00CF3F49">
                            <w:pPr>
                              <w:rPr>
                                <w:color w:val="FFFFFF" w:themeColor="background1"/>
                                <w:sz w:val="22"/>
                                <w:szCs w:val="20"/>
                              </w:rPr>
                            </w:pPr>
                            <w:r w:rsidRPr="00CF3F49">
                              <w:rPr>
                                <w:color w:val="FFFFFF" w:themeColor="background1"/>
                                <w:sz w:val="22"/>
                                <w:szCs w:val="20"/>
                              </w:rPr>
                              <w:t>(4) Any person convicted of a criminal offence has the right to have the conviction and any sentence imposed in respect of it reviewed by a higher court in accordance with law.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115B0F" id="Text Box 276" o:spid="_x0000_s1060" type="#_x0000_t202" style="position:absolute;margin-left:0;margin-top:20.2pt;width:452.1pt;height:110.6pt;z-index:251658305;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" fillcolor="#201547">
                <v:textbox style="mso-fit-shape-to-text:t">
                  <w:txbxContent>
                    <w:p w14:paraId="1A19E645" w14:textId="41C0E844" w:rsidR="00CF3F49" w:rsidRPr="00CF3F49" w:rsidRDefault="00CF3F49" w:rsidP="00CF3F49">
                      <w:pPr>
                        <w:pStyle w:val="Heading3-report"/>
                        <w:rPr>
                          <w:color w:val="FFFFFF" w:themeColor="background1"/>
                          <w:sz w:val="24"/>
                          <w:szCs w:val="24"/>
                        </w:rPr>
                      </w:pPr>
                      <w:r w:rsidRPr="00CF3F49">
                        <w:rPr>
                          <w:color w:val="FFFFFF" w:themeColor="background1"/>
                          <w:sz w:val="24"/>
                          <w:szCs w:val="24"/>
                        </w:rPr>
                        <w:t>Section 25 Rights in criminal proceedings</w:t>
                      </w:r>
                    </w:p>
                    <w:p w14:paraId="6EA3AA4C" w14:textId="77777777" w:rsidR="00CF3F49" w:rsidRPr="00CF3F49" w:rsidRDefault="00CF3F49" w:rsidP="00CF3F49">
                      <w:pPr>
                        <w:rPr>
                          <w:color w:val="FFFFFF" w:themeColor="background1"/>
                          <w:sz w:val="22"/>
                          <w:szCs w:val="20"/>
                        </w:rPr>
                      </w:pPr>
                      <w:r w:rsidRPr="00CF3F49">
                        <w:rPr>
                          <w:color w:val="FFFFFF" w:themeColor="background1"/>
                          <w:sz w:val="22"/>
                          <w:szCs w:val="20"/>
                        </w:rPr>
                        <w:t xml:space="preserve">(1) A person charged with a criminal offence has the right to be presumed innocent until proved guilty according to law. </w:t>
                      </w:r>
                    </w:p>
                    <w:p w14:paraId="17C91F85" w14:textId="77777777" w:rsidR="00CF3F49" w:rsidRPr="00CF3F49" w:rsidRDefault="00CF3F49" w:rsidP="00CF3F49">
                      <w:pPr>
                        <w:rPr>
                          <w:color w:val="FFFFFF" w:themeColor="background1"/>
                          <w:sz w:val="22"/>
                          <w:szCs w:val="20"/>
                        </w:rPr>
                      </w:pPr>
                      <w:r w:rsidRPr="00CF3F49">
                        <w:rPr>
                          <w:color w:val="FFFFFF" w:themeColor="background1"/>
                          <w:sz w:val="22"/>
                          <w:szCs w:val="20"/>
                        </w:rPr>
                        <w:t xml:space="preserve">(2) A person charged with a criminal offence is entitled without discrimination to the following minimum guarantees— </w:t>
                      </w:r>
                    </w:p>
                    <w:p w14:paraId="19CAF92D" w14:textId="77777777" w:rsidR="00CF3F49" w:rsidRPr="00CF3F49" w:rsidRDefault="00CF3F49" w:rsidP="00CF3F49">
                      <w:pPr>
                        <w:ind w:left="720"/>
                        <w:rPr>
                          <w:color w:val="FFFFFF" w:themeColor="background1"/>
                          <w:sz w:val="22"/>
                          <w:szCs w:val="20"/>
                        </w:rPr>
                      </w:pPr>
                      <w:r w:rsidRPr="00CF3F49">
                        <w:rPr>
                          <w:color w:val="FFFFFF" w:themeColor="background1"/>
                          <w:sz w:val="22"/>
                          <w:szCs w:val="20"/>
                        </w:rPr>
                        <w:t xml:space="preserve">(a) to be informed promptly and in detail of the nature and reason for the charge in a language or, if necessary, a type of communication that that person speaks or understands; and </w:t>
                      </w:r>
                    </w:p>
                    <w:p w14:paraId="1AC5EE3E" w14:textId="77777777" w:rsidR="00CF3F49" w:rsidRPr="00CF3F49" w:rsidRDefault="00CF3F49" w:rsidP="00CF3F49">
                      <w:pPr>
                        <w:ind w:left="720"/>
                        <w:rPr>
                          <w:color w:val="FFFFFF" w:themeColor="background1"/>
                          <w:sz w:val="22"/>
                          <w:szCs w:val="20"/>
                        </w:rPr>
                      </w:pPr>
                      <w:r w:rsidRPr="00CF3F49">
                        <w:rPr>
                          <w:color w:val="FFFFFF" w:themeColor="background1"/>
                          <w:sz w:val="22"/>
                          <w:szCs w:val="20"/>
                        </w:rPr>
                        <w:t xml:space="preserve">(b) to have adequate time and facilities to prepare their defence and to communicate with a lawyer or advisor chosen by that person; and </w:t>
                      </w:r>
                    </w:p>
                    <w:p w14:paraId="36519186" w14:textId="77777777" w:rsidR="00CF3F49" w:rsidRPr="00CF3F49" w:rsidRDefault="00CF3F49" w:rsidP="00CF3F49">
                      <w:pPr>
                        <w:ind w:left="720"/>
                        <w:rPr>
                          <w:color w:val="FFFFFF" w:themeColor="background1"/>
                          <w:sz w:val="22"/>
                          <w:szCs w:val="20"/>
                        </w:rPr>
                      </w:pPr>
                      <w:r w:rsidRPr="00CF3F49">
                        <w:rPr>
                          <w:color w:val="FFFFFF" w:themeColor="background1"/>
                          <w:sz w:val="22"/>
                          <w:szCs w:val="20"/>
                        </w:rPr>
                        <w:t xml:space="preserve">(c) to be tried without unreasonable delay; and  </w:t>
                      </w:r>
                    </w:p>
                    <w:p w14:paraId="724882B7" w14:textId="77777777" w:rsidR="00CF3F49" w:rsidRPr="00CF3F49" w:rsidRDefault="00CF3F49" w:rsidP="00CF3F49">
                      <w:pPr>
                        <w:ind w:left="720"/>
                        <w:rPr>
                          <w:color w:val="FFFFFF" w:themeColor="background1"/>
                          <w:sz w:val="22"/>
                          <w:szCs w:val="20"/>
                        </w:rPr>
                      </w:pPr>
                      <w:r w:rsidRPr="00CF3F49">
                        <w:rPr>
                          <w:color w:val="FFFFFF" w:themeColor="background1"/>
                          <w:sz w:val="22"/>
                          <w:szCs w:val="20"/>
                        </w:rPr>
                        <w:t xml:space="preserve">(d) to be tried in person, and to defend themselves personally or through legal assistance chosen by that person or, if eligible, through legal aid provided by Victoria Legal Aid under the Legal Aid Act 1978; and  </w:t>
                      </w:r>
                    </w:p>
                    <w:p w14:paraId="62CB99CB" w14:textId="77777777" w:rsidR="00CF3F49" w:rsidRPr="00CF3F49" w:rsidRDefault="00CF3F49" w:rsidP="00CF3F49">
                      <w:pPr>
                        <w:ind w:left="720"/>
                        <w:rPr>
                          <w:color w:val="FFFFFF" w:themeColor="background1"/>
                          <w:sz w:val="22"/>
                          <w:szCs w:val="20"/>
                        </w:rPr>
                      </w:pPr>
                      <w:r w:rsidRPr="00CF3F49">
                        <w:rPr>
                          <w:color w:val="FFFFFF" w:themeColor="background1"/>
                          <w:sz w:val="22"/>
                          <w:szCs w:val="20"/>
                        </w:rPr>
                        <w:t xml:space="preserve">(e) to be told, if that person does not have legal assistance, about the right, if eligible, to legal aid under the Legal Aid Act 1978; and  </w:t>
                      </w:r>
                    </w:p>
                    <w:p w14:paraId="37D7EF91" w14:textId="77777777" w:rsidR="00CF3F49" w:rsidRPr="00CF3F49" w:rsidRDefault="00CF3F49" w:rsidP="00CF3F49">
                      <w:pPr>
                        <w:ind w:left="720"/>
                        <w:rPr>
                          <w:color w:val="FFFFFF" w:themeColor="background1"/>
                          <w:sz w:val="22"/>
                          <w:szCs w:val="20"/>
                        </w:rPr>
                      </w:pPr>
                      <w:r w:rsidRPr="00CF3F49">
                        <w:rPr>
                          <w:color w:val="FFFFFF" w:themeColor="background1"/>
                          <w:sz w:val="22"/>
                          <w:szCs w:val="20"/>
                        </w:rPr>
                        <w:t xml:space="preserve">(f) to have legal aid provided if the interests of justice require it, without any costs payable by that person if the person meets the eligibility criteria set out in the Legal Aid Act 1978; and  </w:t>
                      </w:r>
                    </w:p>
                    <w:p w14:paraId="720E59F3" w14:textId="77777777" w:rsidR="00CF3F49" w:rsidRPr="00CF3F49" w:rsidRDefault="00CF3F49" w:rsidP="00CF3F49">
                      <w:pPr>
                        <w:ind w:left="720"/>
                        <w:rPr>
                          <w:color w:val="FFFFFF" w:themeColor="background1"/>
                          <w:sz w:val="22"/>
                          <w:szCs w:val="20"/>
                        </w:rPr>
                      </w:pPr>
                      <w:r w:rsidRPr="00CF3F49">
                        <w:rPr>
                          <w:color w:val="FFFFFF" w:themeColor="background1"/>
                          <w:sz w:val="22"/>
                          <w:szCs w:val="20"/>
                        </w:rPr>
                        <w:t xml:space="preserve">(g) to examine, or have examined, witnesses against that person, unless otherwise provided for by law; and  </w:t>
                      </w:r>
                    </w:p>
                    <w:p w14:paraId="2B9DBC09" w14:textId="77777777" w:rsidR="00CF3F49" w:rsidRPr="00CF3F49" w:rsidRDefault="00CF3F49" w:rsidP="00CF3F49">
                      <w:pPr>
                        <w:ind w:left="720"/>
                        <w:rPr>
                          <w:color w:val="FFFFFF" w:themeColor="background1"/>
                          <w:sz w:val="22"/>
                          <w:szCs w:val="20"/>
                        </w:rPr>
                      </w:pPr>
                      <w:r w:rsidRPr="00CF3F49">
                        <w:rPr>
                          <w:color w:val="FFFFFF" w:themeColor="background1"/>
                          <w:sz w:val="22"/>
                          <w:szCs w:val="20"/>
                        </w:rPr>
                        <w:t xml:space="preserve">(h) to obtain the attendance and examination of witnesses on that person's behalf under the same conditions as witnesses for the prosecution; and  </w:t>
                      </w:r>
                    </w:p>
                    <w:p w14:paraId="5D436961" w14:textId="77777777" w:rsidR="00CF3F49" w:rsidRPr="00CF3F49" w:rsidRDefault="00CF3F49" w:rsidP="00CF3F49">
                      <w:pPr>
                        <w:ind w:left="720"/>
                        <w:rPr>
                          <w:color w:val="FFFFFF" w:themeColor="background1"/>
                          <w:sz w:val="22"/>
                          <w:szCs w:val="20"/>
                        </w:rPr>
                      </w:pPr>
                      <w:r w:rsidRPr="00CF3F49">
                        <w:rPr>
                          <w:color w:val="FFFFFF" w:themeColor="background1"/>
                          <w:sz w:val="22"/>
                          <w:szCs w:val="20"/>
                        </w:rPr>
                        <w:t xml:space="preserve">(i) to have the free assistance of an interpreter if that person cannot understand or speak English; and </w:t>
                      </w:r>
                    </w:p>
                    <w:p w14:paraId="7E2E8C58" w14:textId="77777777" w:rsidR="00CF3F49" w:rsidRPr="00CF3F49" w:rsidRDefault="00CF3F49" w:rsidP="00CF3F49">
                      <w:pPr>
                        <w:ind w:left="720"/>
                        <w:rPr>
                          <w:color w:val="FFFFFF" w:themeColor="background1"/>
                          <w:sz w:val="22"/>
                          <w:szCs w:val="20"/>
                        </w:rPr>
                      </w:pPr>
                      <w:r w:rsidRPr="00CF3F49">
                        <w:rPr>
                          <w:color w:val="FFFFFF" w:themeColor="background1"/>
                          <w:sz w:val="22"/>
                          <w:szCs w:val="20"/>
                        </w:rPr>
                        <w:t xml:space="preserve">(j) to have the free assistance of assistants and specialised communication tools and technology if that person has communication or speech difficulties that require such assistance; and  </w:t>
                      </w:r>
                    </w:p>
                    <w:p w14:paraId="5ACB1191" w14:textId="77777777" w:rsidR="00CF3F49" w:rsidRPr="00CF3F49" w:rsidRDefault="00CF3F49" w:rsidP="00CF3F49">
                      <w:pPr>
                        <w:ind w:left="720"/>
                        <w:rPr>
                          <w:color w:val="FFFFFF" w:themeColor="background1"/>
                          <w:sz w:val="22"/>
                          <w:szCs w:val="20"/>
                        </w:rPr>
                      </w:pPr>
                      <w:r w:rsidRPr="00CF3F49">
                        <w:rPr>
                          <w:color w:val="FFFFFF" w:themeColor="background1"/>
                          <w:sz w:val="22"/>
                          <w:szCs w:val="20"/>
                        </w:rPr>
                        <w:t xml:space="preserve">(k) not to be compelled to testify against themselves or to confess guilt.  </w:t>
                      </w:r>
                    </w:p>
                    <w:p w14:paraId="3B6DBC6C" w14:textId="77777777" w:rsidR="00CF3F49" w:rsidRPr="00CF3F49" w:rsidRDefault="00CF3F49" w:rsidP="00CF3F49">
                      <w:pPr>
                        <w:rPr>
                          <w:color w:val="FFFFFF" w:themeColor="background1"/>
                          <w:sz w:val="22"/>
                          <w:szCs w:val="20"/>
                        </w:rPr>
                      </w:pPr>
                      <w:r w:rsidRPr="00CF3F49">
                        <w:rPr>
                          <w:color w:val="FFFFFF" w:themeColor="background1"/>
                          <w:sz w:val="22"/>
                          <w:szCs w:val="20"/>
                        </w:rPr>
                        <w:t xml:space="preserve">(3) A child charged with a criminal offence has the right to a procedure that takes account of that child's age and the desirability of promoting the child's rehabilitation. </w:t>
                      </w:r>
                    </w:p>
                    <w:p w14:paraId="57B81B93" w14:textId="118F4E70" w:rsidR="00CF3F49" w:rsidRPr="00CF3F49" w:rsidRDefault="00CF3F49" w:rsidP="00CF3F49">
                      <w:pPr>
                        <w:rPr>
                          <w:color w:val="FFFFFF" w:themeColor="background1"/>
                          <w:sz w:val="22"/>
                          <w:szCs w:val="20"/>
                        </w:rPr>
                      </w:pPr>
                      <w:r w:rsidRPr="00CF3F49">
                        <w:rPr>
                          <w:color w:val="FFFFFF" w:themeColor="background1"/>
                          <w:sz w:val="22"/>
                          <w:szCs w:val="20"/>
                        </w:rPr>
                        <w:t>(4) Any person convicted of a criminal offence has the right to have the conviction and any sentence imposed in respect of it reviewed by a higher court in accordance with law.</w:t>
                      </w:r>
                    </w:p>
                  </w:txbxContent>
                </v:textbox>
                <w10:wrap type="square" anchorx="margin"/>
              </v:shape>
            </w:pict>
          </mc:Fallback>
        </mc:AlternateContent>
      </w:r>
    </w:p>
    <w:p w14:paraId="4AAE98B2" w14:textId="60E7F06C" w:rsidR="009D57FA" w:rsidRPr="00A9204B" w:rsidRDefault="009D57FA" w:rsidP="00F61029">
      <w:pPr>
        <w:spacing w:before="120"/>
      </w:pPr>
      <w:r>
        <w:lastRenderedPageBreak/>
        <w:t>Rights in criminal proceedings are primarily the responsibility of the justice system and are unlikely to be engaged in the administration and delivery of the mental health and wellbeing system.</w:t>
      </w:r>
      <w:r w:rsidR="007C2DB8">
        <w:t xml:space="preserve"> However, we note that </w:t>
      </w:r>
      <w:r w:rsidR="00672495">
        <w:t>several</w:t>
      </w:r>
      <w:r w:rsidR="007C2DB8">
        <w:t xml:space="preserve"> protections in section 25 of the Charter may have </w:t>
      </w:r>
      <w:r w:rsidR="007C2DB8" w:rsidDel="008A3A6F">
        <w:t>particular relevance to</w:t>
      </w:r>
      <w:r w:rsidR="009652A9">
        <w:t xml:space="preserve"> </w:t>
      </w:r>
      <w:r w:rsidR="007C2DB8">
        <w:t xml:space="preserve">people </w:t>
      </w:r>
      <w:r w:rsidR="00997589">
        <w:t>whose</w:t>
      </w:r>
      <w:r w:rsidR="009769CD">
        <w:t xml:space="preserve"> mental health </w:t>
      </w:r>
      <w:r w:rsidR="00903912">
        <w:t xml:space="preserve">(or other disability) </w:t>
      </w:r>
      <w:r w:rsidR="009769CD">
        <w:t>affects their communication or comprehension of information</w:t>
      </w:r>
      <w:r w:rsidR="007C2DB8">
        <w:t>.</w:t>
      </w:r>
      <w:r w:rsidR="00672495">
        <w:t xml:space="preserve"> </w:t>
      </w:r>
      <w:r w:rsidR="00BF208B">
        <w:t>T</w:t>
      </w:r>
      <w:r w:rsidR="00672495">
        <w:t xml:space="preserve">hese </w:t>
      </w:r>
      <w:r w:rsidR="00BF208B">
        <w:t xml:space="preserve">protections </w:t>
      </w:r>
      <w:r w:rsidR="00672495">
        <w:t>are:</w:t>
      </w:r>
    </w:p>
    <w:p w14:paraId="0B5B39F2" w14:textId="20364697" w:rsidR="00672495" w:rsidRPr="00A9204B" w:rsidRDefault="00C656B9" w:rsidP="00E225B4">
      <w:pPr>
        <w:pStyle w:val="ListParagraph"/>
        <w:numPr>
          <w:ilvl w:val="0"/>
          <w:numId w:val="12"/>
        </w:numPr>
        <w:spacing w:before="120"/>
      </w:pPr>
      <w:r>
        <w:t>T</w:t>
      </w:r>
      <w:r w:rsidR="007249E0">
        <w:t>he right to be informed of the nature and reason for the cha</w:t>
      </w:r>
      <w:r w:rsidR="007C65C0">
        <w:t>r</w:t>
      </w:r>
      <w:r w:rsidR="007249E0">
        <w:t xml:space="preserve">ge in a language and a type of communication that the person understands (section </w:t>
      </w:r>
      <w:r>
        <w:t>25(2)(a)).</w:t>
      </w:r>
      <w:r w:rsidR="0096459C">
        <w:t xml:space="preserve"> When considering a similar right</w:t>
      </w:r>
      <w:r w:rsidR="00C75D9E">
        <w:t xml:space="preserve">, the European Court of Human Rights has </w:t>
      </w:r>
      <w:r w:rsidR="00BE6883">
        <w:t xml:space="preserve">found that </w:t>
      </w:r>
      <w:r w:rsidR="0068219B">
        <w:t xml:space="preserve">when a charge is serious </w:t>
      </w:r>
      <w:r w:rsidR="00C75D9E">
        <w:t xml:space="preserve">and the person charged has a mental impairment making it difficult to understand </w:t>
      </w:r>
      <w:r w:rsidR="00F64055">
        <w:t>t</w:t>
      </w:r>
      <w:r w:rsidR="00C75D9E">
        <w:t>he charge, authorities must do more than simply inform the person of the charge.</w:t>
      </w:r>
      <w:r w:rsidR="002D2D0B" w:rsidRPr="0091262D">
        <w:rPr>
          <w:rStyle w:val="FootnoteReference"/>
        </w:rPr>
        <w:footnoteReference w:id="224"/>
      </w:r>
      <w:r w:rsidR="00C75D9E">
        <w:t xml:space="preserve"> Additional </w:t>
      </w:r>
      <w:r w:rsidR="003461B8">
        <w:t xml:space="preserve">processes and </w:t>
      </w:r>
      <w:r w:rsidR="00C75D9E">
        <w:t>information may need to be provided in a way that the person can understand.</w:t>
      </w:r>
    </w:p>
    <w:p w14:paraId="2262AE4C" w14:textId="2DEDEF99" w:rsidR="00387CEF" w:rsidRDefault="00387CEF" w:rsidP="00E225B4">
      <w:pPr>
        <w:pStyle w:val="ListParagraph"/>
        <w:numPr>
          <w:ilvl w:val="0"/>
          <w:numId w:val="12"/>
        </w:numPr>
        <w:spacing w:before="120"/>
      </w:pPr>
      <w:r>
        <w:t xml:space="preserve">The right to have adequate time to prepare </w:t>
      </w:r>
      <w:r w:rsidR="00EF188E">
        <w:t>their defence (section 25(2)(</w:t>
      </w:r>
      <w:r w:rsidR="0039140D">
        <w:t>b)).</w:t>
      </w:r>
      <w:r w:rsidR="002738A5">
        <w:t xml:space="preserve"> What is ‘adequate time’ is considered in the circumstances of the case. </w:t>
      </w:r>
      <w:r w:rsidR="00A147A9">
        <w:t>It</w:t>
      </w:r>
      <w:r w:rsidR="002738A5">
        <w:t xml:space="preserve"> is arguable that </w:t>
      </w:r>
      <w:r w:rsidR="00EC0CA6">
        <w:t xml:space="preserve">a person’s communication </w:t>
      </w:r>
      <w:r w:rsidR="00D619F3">
        <w:t>needs,</w:t>
      </w:r>
      <w:r w:rsidR="00EC0CA6">
        <w:t xml:space="preserve"> and the time associated with these needs</w:t>
      </w:r>
      <w:r w:rsidR="00D619F3">
        <w:t>,</w:t>
      </w:r>
      <w:r w:rsidR="00EC0CA6">
        <w:t xml:space="preserve"> </w:t>
      </w:r>
      <w:r w:rsidR="00D619F3">
        <w:t>could be</w:t>
      </w:r>
      <w:r w:rsidR="00EC0CA6">
        <w:t xml:space="preserve"> a relevant consideration </w:t>
      </w:r>
      <w:r w:rsidR="00D619F3">
        <w:t>in determining</w:t>
      </w:r>
      <w:r w:rsidR="00EC0CA6">
        <w:t xml:space="preserve"> whether </w:t>
      </w:r>
      <w:r w:rsidR="00BF654A">
        <w:t xml:space="preserve">the </w:t>
      </w:r>
      <w:r w:rsidR="00EC0CA6">
        <w:t>time</w:t>
      </w:r>
      <w:r w:rsidR="004B0041">
        <w:t xml:space="preserve"> to prepare a defence</w:t>
      </w:r>
      <w:r w:rsidR="00EC0CA6">
        <w:t xml:space="preserve"> is adequate.</w:t>
      </w:r>
      <w:r w:rsidR="002738A5">
        <w:t xml:space="preserve"> </w:t>
      </w:r>
    </w:p>
    <w:p w14:paraId="72C31B48" w14:textId="0DC5E429" w:rsidR="007C65C0" w:rsidRPr="00A9204B" w:rsidRDefault="001A3FFD" w:rsidP="00E225B4">
      <w:pPr>
        <w:pStyle w:val="ListParagraph"/>
        <w:numPr>
          <w:ilvl w:val="0"/>
          <w:numId w:val="12"/>
        </w:numPr>
        <w:spacing w:before="120"/>
      </w:pPr>
      <w:r>
        <w:t xml:space="preserve">The right to </w:t>
      </w:r>
      <w:r w:rsidRPr="00F91A59">
        <w:t>have the free assistance of assistants and specialised communication tools and technology if that person has communication difficulties that require such assistance</w:t>
      </w:r>
      <w:r w:rsidR="00E73741">
        <w:t xml:space="preserve"> (section 25(2)(</w:t>
      </w:r>
      <w:r w:rsidR="00C776AB">
        <w:t>j)).</w:t>
      </w:r>
    </w:p>
    <w:p w14:paraId="122BF239" w14:textId="77777777" w:rsidR="00FA7155" w:rsidRDefault="00FA7155">
      <w:pPr>
        <w:rPr>
          <w:b/>
          <w:bCs/>
          <w:color w:val="201547"/>
          <w:sz w:val="36"/>
          <w:szCs w:val="36"/>
        </w:rPr>
      </w:pPr>
      <w:r>
        <w:br w:type="page"/>
      </w:r>
    </w:p>
    <w:p w14:paraId="4791B7A6" w14:textId="2CD3E404" w:rsidR="00CF3F49" w:rsidRDefault="00CF3F49" w:rsidP="002976ED">
      <w:pPr>
        <w:pStyle w:val="Heading1-report"/>
        <w:ind w:left="1440"/>
      </w:pPr>
      <w:r>
        <w:rPr>
          <w:noProof/>
        </w:rPr>
        <w:lastRenderedPageBreak/>
        <mc:AlternateContent>
          <mc:Choice Requires="wps">
            <w:drawing>
              <wp:anchor distT="45720" distB="45720" distL="114300" distR="114300" simplePos="0" relativeHeight="251658306" behindDoc="0" locked="0" layoutInCell="1" allowOverlap="1" wp14:anchorId="11E1EA8A" wp14:editId="67BC8742">
                <wp:simplePos x="0" y="0"/>
                <wp:positionH relativeFrom="margin">
                  <wp:align>right</wp:align>
                </wp:positionH>
                <wp:positionV relativeFrom="paragraph">
                  <wp:posOffset>836930</wp:posOffset>
                </wp:positionV>
                <wp:extent cx="5711825" cy="1404620"/>
                <wp:effectExtent l="0" t="0" r="22225" b="18415"/>
                <wp:wrapSquare wrapText="bothSides"/>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1404620"/>
                        </a:xfrm>
                        <a:prstGeom prst="rect">
                          <a:avLst/>
                        </a:prstGeom>
                        <a:solidFill>
                          <a:srgbClr val="201547"/>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0BACBD55" w14:textId="77777777" w:rsidR="00CF3F49" w:rsidRPr="00CF3F49" w:rsidRDefault="00CF3F49" w:rsidP="00CF3F49">
                            <w:pPr>
                              <w:pStyle w:val="Heading3-report"/>
                              <w:rPr>
                                <w:color w:val="FFFFFF" w:themeColor="background1"/>
                              </w:rPr>
                            </w:pPr>
                            <w:r w:rsidRPr="00CF3F49">
                              <w:rPr>
                                <w:color w:val="FFFFFF" w:themeColor="background1"/>
                              </w:rPr>
                              <w:t>Section 26 Right not to be tried or punished more than once</w:t>
                            </w:r>
                          </w:p>
                          <w:p w14:paraId="10F43BD7" w14:textId="7CE81E12" w:rsidR="00CF3F49" w:rsidRPr="00CF3F49" w:rsidRDefault="00CF3F49" w:rsidP="00CF3F49">
                            <w:pPr>
                              <w:rPr>
                                <w:color w:val="FFFFFF" w:themeColor="background1"/>
                              </w:rPr>
                            </w:pPr>
                            <w:r w:rsidRPr="00CF3F49">
                              <w:rPr>
                                <w:color w:val="FFFFFF" w:themeColor="background1"/>
                              </w:rPr>
                              <w:t>A person must not be tried or punished more than once for an offence in respect of which that person has already been finally convicted or acquitted in accordance with law.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E1EA8A" id="Text Box 281" o:spid="_x0000_s1061" type="#_x0000_t202" style="position:absolute;left:0;text-align:left;margin-left:398.55pt;margin-top:65.9pt;width:449.75pt;height:110.6pt;z-index:25165830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" fillcolor="#201547" strokecolor="#1b383a [1604]" strokeweight="1pt">
                <v:textbox style="mso-fit-shape-to-text:t">
                  <w:txbxContent>
                    <w:p w14:paraId="0BACBD55" w14:textId="77777777" w:rsidR="00CF3F49" w:rsidRPr="00CF3F49" w:rsidRDefault="00CF3F49" w:rsidP="00CF3F49">
                      <w:pPr>
                        <w:pStyle w:val="Heading3-report"/>
                        <w:rPr>
                          <w:color w:val="FFFFFF" w:themeColor="background1"/>
                        </w:rPr>
                      </w:pPr>
                      <w:r w:rsidRPr="00CF3F49">
                        <w:rPr>
                          <w:color w:val="FFFFFF" w:themeColor="background1"/>
                        </w:rPr>
                        <w:t>Section 26 Right not to be tried or punished more than once</w:t>
                      </w:r>
                    </w:p>
                    <w:p w14:paraId="10F43BD7" w14:textId="7CE81E12" w:rsidR="00CF3F49" w:rsidRPr="00CF3F49" w:rsidRDefault="00CF3F49" w:rsidP="00CF3F49">
                      <w:pPr>
                        <w:rPr>
                          <w:color w:val="FFFFFF" w:themeColor="background1"/>
                        </w:rPr>
                      </w:pPr>
                      <w:r w:rsidRPr="00CF3F49">
                        <w:rPr>
                          <w:color w:val="FFFFFF" w:themeColor="background1"/>
                        </w:rPr>
                        <w:t>A person must not be tried or punished more than once for an offence in respect of which that person has already been finally convicted or acquitted in accordance with law.</w:t>
                      </w:r>
                    </w:p>
                  </w:txbxContent>
                </v:textbox>
                <w10:wrap type="square" anchorx="margin"/>
              </v:shape>
            </w:pict>
          </mc:Fallback>
        </mc:AlternateContent>
      </w:r>
      <w:r w:rsidR="004D277B">
        <w:rPr>
          <w:noProof/>
        </w:rPr>
        <w:drawing>
          <wp:anchor distT="0" distB="0" distL="114300" distR="114300" simplePos="0" relativeHeight="251658288" behindDoc="0" locked="0" layoutInCell="1" allowOverlap="1" wp14:anchorId="61DA37CD" wp14:editId="0865487D">
            <wp:simplePos x="0" y="0"/>
            <wp:positionH relativeFrom="margin">
              <wp:align>left</wp:align>
            </wp:positionH>
            <wp:positionV relativeFrom="paragraph">
              <wp:posOffset>5080</wp:posOffset>
            </wp:positionV>
            <wp:extent cx="680358" cy="680358"/>
            <wp:effectExtent l="0" t="0" r="0" b="5715"/>
            <wp:wrapNone/>
            <wp:docPr id="241" name="Picture 241" descr="Recycle image but with faded cross over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41" descr="Recycle image but with faded cross over the top"/>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82881" cy="6828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04B">
        <w:t>Right not to be tried or punished more than once (section 26)</w:t>
      </w:r>
    </w:p>
    <w:p w14:paraId="3CF995ED" w14:textId="77777777" w:rsidR="00C172C4" w:rsidRDefault="00C172C4" w:rsidP="00C172C4">
      <w:pPr>
        <w:spacing w:before="120"/>
      </w:pPr>
      <w:r>
        <w:t>Under the Charter, if a person has already been convicted or acquitted of a criminal offence, they cannot be tried or punished for the same offence again. This right may be limited in certain circumstances, for example, if there is new evidence or the original trial was not conducted fairly.</w:t>
      </w:r>
    </w:p>
    <w:p w14:paraId="7B442D3A" w14:textId="62982D64" w:rsidR="000F199B" w:rsidRPr="003906B9" w:rsidRDefault="00EF01A4" w:rsidP="000232B9">
      <w:pPr>
        <w:spacing w:before="120"/>
      </w:pPr>
      <w:r>
        <w:t>W</w:t>
      </w:r>
      <w:r w:rsidR="00C172C4">
        <w:t xml:space="preserve">hen considering professional disciplinary proceedings, </w:t>
      </w:r>
      <w:r w:rsidR="006F0323">
        <w:t xml:space="preserve">VCAT </w:t>
      </w:r>
      <w:r w:rsidR="00C172C4">
        <w:t>found that the purpose of the action was to protect the public, not to punish the practitioner, and therefore did not amount to a double punishment</w:t>
      </w:r>
      <w:r w:rsidR="00483D2D">
        <w:t xml:space="preserve"> for the purposes of section 26</w:t>
      </w:r>
      <w:r w:rsidR="00C172C4">
        <w:t>.</w:t>
      </w:r>
      <w:r w:rsidR="00C172C4" w:rsidRPr="0091262D">
        <w:rPr>
          <w:rStyle w:val="FootnoteReference"/>
        </w:rPr>
        <w:footnoteReference w:id="225"/>
      </w:r>
      <w:r w:rsidR="00C172C4">
        <w:t xml:space="preserve"> So, t</w:t>
      </w:r>
      <w:r w:rsidR="045AC9BB">
        <w:t xml:space="preserve">o be an unlawful double punishment, the purpose and consequences of the action must be to punish a person for a criminal offence. </w:t>
      </w:r>
    </w:p>
    <w:p w14:paraId="45C33AA2" w14:textId="04BDCF8B" w:rsidR="74300682" w:rsidRDefault="3CD8DBE8" w:rsidP="67AE73D6">
      <w:pPr>
        <w:spacing w:before="120"/>
      </w:pPr>
      <w:r>
        <w:t>Section 26 is not engaged where a person accused of a crime is found unfit to stand trial or not guilty by reason of mental impairment and is placed on a supervision order which includes receiving compulsory mental health treatment. In such cases the person has not been punished under the criminal justice system for the criminal offence and, unless there is some abuse of process, the purpose of compulsory treatment is likely to be found by a court to be mental health treatment.</w:t>
      </w:r>
      <w:r w:rsidR="00084539" w:rsidRPr="0091262D">
        <w:rPr>
          <w:rStyle w:val="FootnoteReference"/>
        </w:rPr>
        <w:footnoteReference w:id="226"/>
      </w:r>
      <w:r>
        <w:t xml:space="preserve"> </w:t>
      </w:r>
    </w:p>
    <w:p w14:paraId="3409D2C7" w14:textId="2D7622BE" w:rsidR="0093233F" w:rsidRDefault="0093233F" w:rsidP="0093233F">
      <w:pPr>
        <w:widowControl w:val="0"/>
        <w:ind w:right="284"/>
      </w:pPr>
      <w:r>
        <w:t>You will need to take the right not to be tried or punished more than once into account if the proposal, policy, or decision:</w:t>
      </w:r>
    </w:p>
    <w:p w14:paraId="77E7F6BA" w14:textId="7DA52B8A" w:rsidR="0093233F" w:rsidRDefault="00A727D0" w:rsidP="00E225B4">
      <w:pPr>
        <w:pStyle w:val="ListParagraph"/>
        <w:widowControl w:val="0"/>
        <w:numPr>
          <w:ilvl w:val="0"/>
          <w:numId w:val="11"/>
        </w:numPr>
        <w:ind w:left="720" w:right="284"/>
      </w:pPr>
      <w:r>
        <w:t>r</w:t>
      </w:r>
      <w:r w:rsidR="0093233F">
        <w:t>elates to policies, procedures and oversight mechanisms designed to ensure that compulsory treatment is used in accordance with the law</w:t>
      </w:r>
      <w:r w:rsidR="00503742">
        <w:t xml:space="preserve"> (and is not undertaken to a purpose other than healthcare)</w:t>
      </w:r>
      <w:r w:rsidR="0093233F">
        <w:t>.</w:t>
      </w:r>
    </w:p>
    <w:p w14:paraId="55781077" w14:textId="77777777" w:rsidR="0093233F" w:rsidRDefault="0093233F" w:rsidP="67AE73D6">
      <w:pPr>
        <w:spacing w:before="120"/>
      </w:pPr>
    </w:p>
    <w:p w14:paraId="46C84E47" w14:textId="77777777" w:rsidR="000232B9" w:rsidRDefault="000232B9" w:rsidP="00C172C4">
      <w:pPr>
        <w:spacing w:before="120"/>
      </w:pPr>
    </w:p>
    <w:p w14:paraId="4471B87A" w14:textId="77777777" w:rsidR="0093233F" w:rsidRDefault="0093233F">
      <w:pPr>
        <w:rPr>
          <w:b/>
          <w:bCs/>
          <w:color w:val="201547"/>
          <w:sz w:val="36"/>
          <w:szCs w:val="36"/>
        </w:rPr>
      </w:pPr>
      <w:r>
        <w:br w:type="page"/>
      </w:r>
    </w:p>
    <w:p w14:paraId="1E89396F" w14:textId="494C87E6" w:rsidR="00A9204B" w:rsidRDefault="002976ED" w:rsidP="002976ED">
      <w:pPr>
        <w:pStyle w:val="Heading1-report"/>
        <w:ind w:left="1440"/>
      </w:pPr>
      <w:r>
        <w:rPr>
          <w:noProof/>
        </w:rPr>
        <w:lastRenderedPageBreak/>
        <mc:AlternateContent>
          <mc:Choice Requires="wps">
            <w:drawing>
              <wp:anchor distT="45720" distB="45720" distL="114300" distR="114300" simplePos="0" relativeHeight="251658307" behindDoc="0" locked="0" layoutInCell="1" allowOverlap="1" wp14:anchorId="1CDCE133" wp14:editId="469DCAEA">
                <wp:simplePos x="0" y="0"/>
                <wp:positionH relativeFrom="margin">
                  <wp:posOffset>6350</wp:posOffset>
                </wp:positionH>
                <wp:positionV relativeFrom="paragraph">
                  <wp:posOffset>801370</wp:posOffset>
                </wp:positionV>
                <wp:extent cx="5741670" cy="1404620"/>
                <wp:effectExtent l="0" t="0" r="11430" b="13970"/>
                <wp:wrapSquare wrapText="bothSides"/>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1404620"/>
                        </a:xfrm>
                        <a:prstGeom prst="rect">
                          <a:avLst/>
                        </a:prstGeom>
                        <a:solidFill>
                          <a:srgbClr val="201547"/>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0D81CC76" w14:textId="77777777" w:rsidR="00CF3F49" w:rsidRPr="00CF3F49" w:rsidRDefault="00CF3F49" w:rsidP="00CF3F49">
                            <w:pPr>
                              <w:pStyle w:val="Heading3-report"/>
                              <w:rPr>
                                <w:color w:val="FFFFFF" w:themeColor="background1"/>
                              </w:rPr>
                            </w:pPr>
                            <w:r w:rsidRPr="00CF3F49">
                              <w:rPr>
                                <w:color w:val="FFFFFF" w:themeColor="background1"/>
                              </w:rPr>
                              <w:t>Section 27 [Right to protection from] Retrospective criminal laws</w:t>
                            </w:r>
                          </w:p>
                          <w:p w14:paraId="478D7713" w14:textId="77777777" w:rsidR="00CF3F49" w:rsidRPr="00CF3F49" w:rsidRDefault="00CF3F49" w:rsidP="00CF3F49">
                            <w:pPr>
                              <w:rPr>
                                <w:color w:val="FFFFFF" w:themeColor="background1"/>
                              </w:rPr>
                            </w:pPr>
                            <w:r w:rsidRPr="00CF3F49">
                              <w:rPr>
                                <w:color w:val="FFFFFF" w:themeColor="background1"/>
                              </w:rPr>
                              <w:t xml:space="preserve">(1) A person must not be found guilty of a criminal offence because of conduct that was not a criminal offence when it was engaged in. </w:t>
                            </w:r>
                          </w:p>
                          <w:p w14:paraId="191DF430" w14:textId="77777777" w:rsidR="00CF3F49" w:rsidRPr="00CF3F49" w:rsidRDefault="00CF3F49" w:rsidP="00CF3F49">
                            <w:pPr>
                              <w:rPr>
                                <w:color w:val="FFFFFF" w:themeColor="background1"/>
                              </w:rPr>
                            </w:pPr>
                            <w:r w:rsidRPr="00CF3F49">
                              <w:rPr>
                                <w:color w:val="FFFFFF" w:themeColor="background1"/>
                              </w:rPr>
                              <w:t xml:space="preserve">(2) A penalty must not be imposed on any person for a criminal offence that is greater than the penalty that applied to the offence when it was committed. </w:t>
                            </w:r>
                          </w:p>
                          <w:p w14:paraId="2D2D9893" w14:textId="77777777" w:rsidR="00CF3F49" w:rsidRPr="00CF3F49" w:rsidRDefault="00CF3F49" w:rsidP="00CF3F49">
                            <w:pPr>
                              <w:rPr>
                                <w:color w:val="FFFFFF" w:themeColor="background1"/>
                              </w:rPr>
                            </w:pPr>
                            <w:r w:rsidRPr="00CF3F49">
                              <w:rPr>
                                <w:color w:val="FFFFFF" w:themeColor="background1"/>
                              </w:rPr>
                              <w:t>(3) If a penalty for an offence is reduced after a person committed the offence but before the person is sentenced for that offence, that person is eligible for the reduced penalty.</w:t>
                            </w:r>
                          </w:p>
                          <w:p w14:paraId="0D32E52D" w14:textId="49430FA6" w:rsidR="00CF3F49" w:rsidRPr="00CF3F49" w:rsidRDefault="00CF3F49" w:rsidP="00CF3F49">
                            <w:pPr>
                              <w:rPr>
                                <w:color w:val="FFFFFF" w:themeColor="background1"/>
                              </w:rPr>
                            </w:pPr>
                            <w:r w:rsidRPr="00CF3F49">
                              <w:rPr>
                                <w:color w:val="FFFFFF" w:themeColor="background1"/>
                              </w:rPr>
                              <w:t>(4) Nothing in this section affects the trial or punishment of any person for any act or omission which was a criminal offence under international law at the time it was done or omitted to be done.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DCE133" id="Text Box 286" o:spid="_x0000_s1062" type="#_x0000_t202" style="position:absolute;left:0;text-align:left;margin-left:.5pt;margin-top:63.1pt;width:452.1pt;height:110.6pt;z-index:25165830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" fillcolor="#201547" strokecolor="#1b383a [1604]" strokeweight="1pt">
                <v:textbox style="mso-fit-shape-to-text:t">
                  <w:txbxContent>
                    <w:p w14:paraId="0D81CC76" w14:textId="77777777" w:rsidR="00CF3F49" w:rsidRPr="00CF3F49" w:rsidRDefault="00CF3F49" w:rsidP="00CF3F49">
                      <w:pPr>
                        <w:pStyle w:val="Heading3-report"/>
                        <w:rPr>
                          <w:color w:val="FFFFFF" w:themeColor="background1"/>
                        </w:rPr>
                      </w:pPr>
                      <w:r w:rsidRPr="00CF3F49">
                        <w:rPr>
                          <w:color w:val="FFFFFF" w:themeColor="background1"/>
                        </w:rPr>
                        <w:t>Section 27 [Right to protection from] Retrospective criminal laws</w:t>
                      </w:r>
                    </w:p>
                    <w:p w14:paraId="478D7713" w14:textId="77777777" w:rsidR="00CF3F49" w:rsidRPr="00CF3F49" w:rsidRDefault="00CF3F49" w:rsidP="00CF3F49">
                      <w:pPr>
                        <w:rPr>
                          <w:color w:val="FFFFFF" w:themeColor="background1"/>
                        </w:rPr>
                      </w:pPr>
                      <w:r w:rsidRPr="00CF3F49">
                        <w:rPr>
                          <w:color w:val="FFFFFF" w:themeColor="background1"/>
                        </w:rPr>
                        <w:t xml:space="preserve">(1) A person must not be found guilty of a criminal offence because of conduct that was not a criminal offence when it was engaged in. </w:t>
                      </w:r>
                    </w:p>
                    <w:p w14:paraId="191DF430" w14:textId="77777777" w:rsidR="00CF3F49" w:rsidRPr="00CF3F49" w:rsidRDefault="00CF3F49" w:rsidP="00CF3F49">
                      <w:pPr>
                        <w:rPr>
                          <w:color w:val="FFFFFF" w:themeColor="background1"/>
                        </w:rPr>
                      </w:pPr>
                      <w:r w:rsidRPr="00CF3F49">
                        <w:rPr>
                          <w:color w:val="FFFFFF" w:themeColor="background1"/>
                        </w:rPr>
                        <w:t xml:space="preserve">(2) A penalty must not be imposed on any person for a criminal offence that is greater than the penalty that applied to the offence when it was committed. </w:t>
                      </w:r>
                    </w:p>
                    <w:p w14:paraId="2D2D9893" w14:textId="77777777" w:rsidR="00CF3F49" w:rsidRPr="00CF3F49" w:rsidRDefault="00CF3F49" w:rsidP="00CF3F49">
                      <w:pPr>
                        <w:rPr>
                          <w:color w:val="FFFFFF" w:themeColor="background1"/>
                        </w:rPr>
                      </w:pPr>
                      <w:r w:rsidRPr="00CF3F49">
                        <w:rPr>
                          <w:color w:val="FFFFFF" w:themeColor="background1"/>
                        </w:rPr>
                        <w:t>(3) If a penalty for an offence is reduced after a person committed the offence but before the person is sentenced for that offence, that person is eligible for the reduced penalty.</w:t>
                      </w:r>
                    </w:p>
                    <w:p w14:paraId="0D32E52D" w14:textId="49430FA6" w:rsidR="00CF3F49" w:rsidRPr="00CF3F49" w:rsidRDefault="00CF3F49" w:rsidP="00CF3F49">
                      <w:pPr>
                        <w:rPr>
                          <w:color w:val="FFFFFF" w:themeColor="background1"/>
                        </w:rPr>
                      </w:pPr>
                      <w:r w:rsidRPr="00CF3F49">
                        <w:rPr>
                          <w:color w:val="FFFFFF" w:themeColor="background1"/>
                        </w:rPr>
                        <w:t>(4) Nothing in this section affects the trial or punishment of any person for any act or omission which was a criminal offence under international law at the time it was done or omitted to be done.</w:t>
                      </w:r>
                    </w:p>
                  </w:txbxContent>
                </v:textbox>
                <w10:wrap type="square" anchorx="margin"/>
              </v:shape>
            </w:pict>
          </mc:Fallback>
        </mc:AlternateContent>
      </w:r>
      <w:r w:rsidR="004F6FB1">
        <w:rPr>
          <w:noProof/>
        </w:rPr>
        <w:drawing>
          <wp:anchor distT="0" distB="0" distL="114300" distR="114300" simplePos="0" relativeHeight="251658289" behindDoc="0" locked="0" layoutInCell="1" allowOverlap="1" wp14:anchorId="1CAEB40C" wp14:editId="40C318E6">
            <wp:simplePos x="0" y="0"/>
            <wp:positionH relativeFrom="margin">
              <wp:align>left</wp:align>
            </wp:positionH>
            <wp:positionV relativeFrom="paragraph">
              <wp:posOffset>5352</wp:posOffset>
            </wp:positionV>
            <wp:extent cx="604158" cy="604158"/>
            <wp:effectExtent l="0" t="0" r="5715" b="5715"/>
            <wp:wrapNone/>
            <wp:docPr id="242" name="Picture 242" descr="Rewind symbol but with faded cross over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 242" descr="Rewind symbol but with faded cross over the top"/>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05481" cy="6054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04B">
        <w:t>Retrospective criminal laws (section 27)</w:t>
      </w:r>
    </w:p>
    <w:p w14:paraId="190FE0D0" w14:textId="109ED36A" w:rsidR="006C2A69" w:rsidRPr="00E92AB6" w:rsidRDefault="002341E1" w:rsidP="00C465EB">
      <w:pPr>
        <w:pStyle w:val="BoldedRightsIntro"/>
        <w:rPr>
          <w:b w:val="0"/>
          <w:bCs w:val="0"/>
        </w:rPr>
      </w:pPr>
      <w:r w:rsidRPr="00E92AB6">
        <w:rPr>
          <w:b w:val="0"/>
          <w:bCs w:val="0"/>
        </w:rPr>
        <w:t xml:space="preserve">The protections against retrospective criminal laws </w:t>
      </w:r>
      <w:r w:rsidR="00262C67" w:rsidRPr="00E92AB6">
        <w:rPr>
          <w:b w:val="0"/>
          <w:bCs w:val="0"/>
        </w:rPr>
        <w:t>are primarily the responsibility of the justice system and are unlikely to be engaged in the administration and delivery of the mental health and wellbeing system.</w:t>
      </w:r>
    </w:p>
    <w:p w14:paraId="3E457695" w14:textId="2A15955D" w:rsidR="00406F25" w:rsidRDefault="003F3D08" w:rsidP="003C2ECB">
      <w:pPr>
        <w:pStyle w:val="Heading2-report"/>
      </w:pPr>
      <w:r>
        <w:br w:type="page"/>
      </w:r>
      <w:r w:rsidR="00406F25">
        <w:lastRenderedPageBreak/>
        <w:t>Resources</w:t>
      </w:r>
    </w:p>
    <w:p w14:paraId="77F63C69" w14:textId="437D5330" w:rsidR="008E6A12" w:rsidRPr="008E6A12" w:rsidRDefault="008E6A12" w:rsidP="008E6A12">
      <w:r>
        <w:t>Staff have ongoing access to the</w:t>
      </w:r>
      <w:r w:rsidR="00D03126">
        <w:t xml:space="preserve"> Charter of Human Rights in Victoria online education program. The </w:t>
      </w:r>
      <w:r w:rsidR="00811B7E">
        <w:t>online education program is open to VPS employ</w:t>
      </w:r>
      <w:r w:rsidR="008A7C16">
        <w:t>ees</w:t>
      </w:r>
      <w:r w:rsidR="00E52E59">
        <w:t xml:space="preserve"> and local government staff members. </w:t>
      </w:r>
      <w:r w:rsidR="002E7629">
        <w:t>In addition, we recommend the following resources:</w:t>
      </w:r>
    </w:p>
    <w:p w14:paraId="741372E5" w14:textId="7F1BDB19" w:rsidR="00092F77" w:rsidRPr="00560BE6" w:rsidRDefault="0C85D5A8" w:rsidP="00092F77">
      <w:pPr>
        <w:pStyle w:val="Heading3-report"/>
      </w:pPr>
      <w:r>
        <w:t>Charter Resources</w:t>
      </w:r>
    </w:p>
    <w:p w14:paraId="59D8D256" w14:textId="1BA0F14F" w:rsidR="008A3741" w:rsidRPr="0030446C" w:rsidRDefault="00B1091D" w:rsidP="002648DD">
      <w:pPr>
        <w:pStyle w:val="Bullet"/>
        <w:spacing w:before="240"/>
        <w:ind w:left="714" w:hanging="357"/>
      </w:pPr>
      <w:r>
        <w:t xml:space="preserve">Victorian Equal Opportunity and Human Rights Commission, </w:t>
      </w:r>
      <w:hyperlink r:id="rId58" w:history="1">
        <w:r w:rsidR="008A3741" w:rsidRPr="00EC44DA">
          <w:rPr>
            <w:rStyle w:val="Hyperlink"/>
            <w:i/>
            <w:iCs/>
          </w:rPr>
          <w:t>The Charter of Human Rights and Responsibilities – A guide for Victorian Public Sector Workers</w:t>
        </w:r>
      </w:hyperlink>
      <w:r>
        <w:t xml:space="preserve">, July 2019. The guide </w:t>
      </w:r>
      <w:r w:rsidR="00596876">
        <w:t>is designed as a practical tool to help public sector employees to build their human rights knowledge and capability.</w:t>
      </w:r>
    </w:p>
    <w:p w14:paraId="08562903" w14:textId="5A17C70D" w:rsidR="0030446C" w:rsidRDefault="0030446C" w:rsidP="002648DD">
      <w:pPr>
        <w:pStyle w:val="Bullet"/>
        <w:spacing w:before="240"/>
        <w:ind w:left="714" w:hanging="357"/>
      </w:pPr>
      <w:r>
        <w:t>Judicial College of Victoria,</w:t>
      </w:r>
      <w:r w:rsidR="004A0EB5">
        <w:t xml:space="preserve"> </w:t>
      </w:r>
      <w:hyperlink r:id="rId59" w:history="1">
        <w:r w:rsidR="004A0EB5" w:rsidRPr="004A0EB5">
          <w:rPr>
            <w:rStyle w:val="Hyperlink"/>
          </w:rPr>
          <w:t>Charter of Human Rights Bench Book</w:t>
        </w:r>
      </w:hyperlink>
      <w:r w:rsidR="004A0EB5">
        <w:t xml:space="preserve">, </w:t>
      </w:r>
      <w:r w:rsidR="00DC21CE">
        <w:t>March 2022</w:t>
      </w:r>
      <w:r w:rsidR="00523CFB">
        <w:t xml:space="preserve">. The Bench Book </w:t>
      </w:r>
      <w:r w:rsidR="00DF53A5">
        <w:t xml:space="preserve">outlines the rights and operative provisions of the </w:t>
      </w:r>
      <w:r w:rsidR="00DF53A5">
        <w:rPr>
          <w:i/>
          <w:iCs/>
        </w:rPr>
        <w:t>Charter</w:t>
      </w:r>
      <w:r w:rsidR="003B63F1">
        <w:t xml:space="preserve">, drawing on relevant Victorian case law to discuss the operation </w:t>
      </w:r>
      <w:r w:rsidR="00743009">
        <w:t>and effect</w:t>
      </w:r>
      <w:r w:rsidR="00E479A3">
        <w:t>s</w:t>
      </w:r>
      <w:r w:rsidR="00743009">
        <w:t xml:space="preserve"> of the various provisions.</w:t>
      </w:r>
    </w:p>
    <w:p w14:paraId="26C45425" w14:textId="628B071D" w:rsidR="0085520D" w:rsidRDefault="0085520D" w:rsidP="002648DD">
      <w:pPr>
        <w:pStyle w:val="Bullet"/>
        <w:spacing w:before="240"/>
        <w:ind w:left="714" w:hanging="357"/>
      </w:pPr>
      <w:r>
        <w:t xml:space="preserve">Judicial College of Victoria, </w:t>
      </w:r>
      <w:hyperlink r:id="rId60" w:history="1">
        <w:r w:rsidR="00543E58" w:rsidRPr="007E2165">
          <w:rPr>
            <w:rStyle w:val="Hyperlink"/>
            <w:i/>
            <w:iCs/>
          </w:rPr>
          <w:t>Charter case collection</w:t>
        </w:r>
      </w:hyperlink>
      <w:r w:rsidR="00543E58">
        <w:t xml:space="preserve">, November 2022. This resource provides brief summaries of decisions from the Victorian Court of Appeal and the Supreme Court of Victoria which have discussed the </w:t>
      </w:r>
      <w:r w:rsidR="00543E58" w:rsidRPr="006C2A69">
        <w:t>Charter.</w:t>
      </w:r>
    </w:p>
    <w:p w14:paraId="60635577" w14:textId="77777777" w:rsidR="00EA0359" w:rsidRDefault="00282441" w:rsidP="00EA0359">
      <w:pPr>
        <w:pStyle w:val="Bullet"/>
        <w:spacing w:before="240"/>
        <w:ind w:left="714" w:hanging="357"/>
      </w:pPr>
      <w:r>
        <w:t xml:space="preserve">Victorian Ombudsman, </w:t>
      </w:r>
      <w:hyperlink r:id="rId61" w:history="1">
        <w:r w:rsidRPr="000B16D9">
          <w:rPr>
            <w:rStyle w:val="Hyperlink"/>
            <w:i/>
            <w:iCs/>
          </w:rPr>
          <w:t>Good Practice Guide: Managing Complaints Involving Human Rights</w:t>
        </w:r>
      </w:hyperlink>
      <w:r>
        <w:t>, May 2017</w:t>
      </w:r>
      <w:r w:rsidR="000B16D9">
        <w:t>. This guide is designed to help public organisations deal effectively with complaints involving human rights.</w:t>
      </w:r>
    </w:p>
    <w:p w14:paraId="5C70D89A" w14:textId="77CE28B5" w:rsidR="00EA0359" w:rsidRDefault="00EA0359" w:rsidP="007D13C6">
      <w:pPr>
        <w:pStyle w:val="Bullet"/>
        <w:spacing w:before="240"/>
        <w:ind w:left="714" w:hanging="357"/>
      </w:pPr>
      <w:r w:rsidRPr="00EA0359">
        <w:t xml:space="preserve">Simon </w:t>
      </w:r>
      <w:r w:rsidRPr="00017C60">
        <w:t>Katterl</w:t>
      </w:r>
      <w:r w:rsidRPr="00EA0359">
        <w:t xml:space="preserve"> and Chris Maylea, ‘Keeping Human Rights in Mind: Embedding the Victorian Charter of Human Rights into the Public Mental Health System’ (2021) 27(1) </w:t>
      </w:r>
      <w:r w:rsidRPr="00836FFE">
        <w:rPr>
          <w:i/>
          <w:iCs/>
        </w:rPr>
        <w:t>Australian Journal of Human Rights</w:t>
      </w:r>
      <w:r w:rsidRPr="00EA0359">
        <w:t xml:space="preserve"> 58</w:t>
      </w:r>
      <w:r w:rsidR="00662F33">
        <w:t>.</w:t>
      </w:r>
    </w:p>
    <w:p w14:paraId="09E31A22" w14:textId="1A60CB97" w:rsidR="00406F25" w:rsidRDefault="00560BE6" w:rsidP="007D13C6">
      <w:pPr>
        <w:pStyle w:val="Heading3-report"/>
        <w:spacing w:before="240"/>
      </w:pPr>
      <w:r>
        <w:t xml:space="preserve">Broader </w:t>
      </w:r>
      <w:r w:rsidR="00B95CED">
        <w:t>h</w:t>
      </w:r>
      <w:r>
        <w:t xml:space="preserve">uman </w:t>
      </w:r>
      <w:r w:rsidR="00B95CED">
        <w:t>r</w:t>
      </w:r>
      <w:r>
        <w:t xml:space="preserve">ights </w:t>
      </w:r>
      <w:r w:rsidR="00B95CED">
        <w:t>and</w:t>
      </w:r>
      <w:r w:rsidR="001012D5">
        <w:t xml:space="preserve"> </w:t>
      </w:r>
      <w:r w:rsidR="00B95CED">
        <w:t>m</w:t>
      </w:r>
      <w:r w:rsidR="001012D5">
        <w:t xml:space="preserve">ental </w:t>
      </w:r>
      <w:r w:rsidR="00B95CED">
        <w:t>h</w:t>
      </w:r>
      <w:r w:rsidR="001012D5">
        <w:t xml:space="preserve">ealth </w:t>
      </w:r>
      <w:r w:rsidR="00B95CED">
        <w:t>r</w:t>
      </w:r>
      <w:r>
        <w:t>esources</w:t>
      </w:r>
    </w:p>
    <w:p w14:paraId="42CFA8CB" w14:textId="7E58F6C7" w:rsidR="000B77C7" w:rsidRPr="000B77C7" w:rsidRDefault="000B77C7" w:rsidP="007D13C6">
      <w:pPr>
        <w:pStyle w:val="Bullet"/>
        <w:spacing w:before="240"/>
        <w:ind w:left="714" w:hanging="357"/>
        <w:rPr>
          <w:lang w:eastAsia="en-AU"/>
        </w:rPr>
      </w:pPr>
      <w:r w:rsidRPr="000B77C7">
        <w:rPr>
          <w:lang w:eastAsia="en-AU"/>
        </w:rPr>
        <w:t>Indigo</w:t>
      </w:r>
      <w:r w:rsidR="00295A1A" w:rsidRPr="00295A1A">
        <w:rPr>
          <w:lang w:eastAsia="en-AU"/>
        </w:rPr>
        <w:t xml:space="preserve"> </w:t>
      </w:r>
      <w:r w:rsidR="00295A1A" w:rsidRPr="000B77C7">
        <w:rPr>
          <w:lang w:eastAsia="en-AU"/>
        </w:rPr>
        <w:t>Daya,</w:t>
      </w:r>
      <w:r w:rsidRPr="000B77C7">
        <w:rPr>
          <w:lang w:eastAsia="en-AU"/>
        </w:rPr>
        <w:t xml:space="preserve"> ‘Russian Dolls and Epistemic Crypts: A Lived Experience Reflection on Epistemic Injustice and Psychiatric Confinement’ (2022) 3(2) </w:t>
      </w:r>
      <w:r w:rsidRPr="000B77C7">
        <w:rPr>
          <w:i/>
          <w:iCs/>
          <w:lang w:eastAsia="en-AU"/>
        </w:rPr>
        <w:t>Incarceration</w:t>
      </w:r>
      <w:r w:rsidRPr="000B77C7">
        <w:rPr>
          <w:lang w:eastAsia="en-AU"/>
        </w:rPr>
        <w:t xml:space="preserve"> 26326663221103444</w:t>
      </w:r>
      <w:r w:rsidR="007E7672">
        <w:rPr>
          <w:lang w:eastAsia="en-AU"/>
        </w:rPr>
        <w:t>.</w:t>
      </w:r>
    </w:p>
    <w:p w14:paraId="43105C7E" w14:textId="1A31672A" w:rsidR="00017C60" w:rsidRDefault="00017C60" w:rsidP="007D13C6">
      <w:pPr>
        <w:pStyle w:val="Bullet"/>
        <w:spacing w:before="240"/>
        <w:ind w:left="714" w:hanging="357"/>
        <w:rPr>
          <w:lang w:eastAsia="en-AU"/>
        </w:rPr>
      </w:pPr>
      <w:r>
        <w:rPr>
          <w:lang w:eastAsia="en-AU"/>
        </w:rPr>
        <w:t>Anne Wand</w:t>
      </w:r>
      <w:r w:rsidRPr="00017C60">
        <w:rPr>
          <w:lang w:eastAsia="en-AU"/>
        </w:rPr>
        <w:t xml:space="preserve"> and Timothy Wand, ‘“Admit Voluntary, Schedule If Tries to Leave”: Placing Mental Health Acts in the Context of Mental Health Law and Human Rights’ (2013) 21(2) </w:t>
      </w:r>
      <w:r w:rsidRPr="00017C60">
        <w:rPr>
          <w:i/>
          <w:iCs/>
          <w:lang w:eastAsia="en-AU"/>
        </w:rPr>
        <w:t>Australasian Psychiatry</w:t>
      </w:r>
      <w:r w:rsidRPr="00017C60">
        <w:rPr>
          <w:lang w:eastAsia="en-AU"/>
        </w:rPr>
        <w:t xml:space="preserve"> 137</w:t>
      </w:r>
      <w:r w:rsidR="007E7672">
        <w:rPr>
          <w:lang w:eastAsia="en-AU"/>
        </w:rPr>
        <w:t>.</w:t>
      </w:r>
    </w:p>
    <w:p w14:paraId="451533EF" w14:textId="11E34DA4" w:rsidR="00C06DBA" w:rsidRPr="00C06DBA" w:rsidRDefault="00C06DBA" w:rsidP="007D13C6">
      <w:pPr>
        <w:pStyle w:val="Bullet"/>
        <w:spacing w:before="240"/>
        <w:ind w:left="714" w:hanging="357"/>
        <w:rPr>
          <w:lang w:eastAsia="en-AU"/>
        </w:rPr>
      </w:pPr>
      <w:r>
        <w:rPr>
          <w:lang w:eastAsia="en-AU"/>
        </w:rPr>
        <w:t>Laura Davidson</w:t>
      </w:r>
      <w:r w:rsidRPr="00C06DBA">
        <w:rPr>
          <w:lang w:eastAsia="en-AU"/>
        </w:rPr>
        <w:t xml:space="preserve">, ‘A Key, Not a Straitjacket: The Case for Interim Mental Health Legislation Pending Complete Prohibition of Psychiatric Coercion in Accordance with the Convention on the Rights of Persons with Disabilities’ (2020) 22(1) </w:t>
      </w:r>
      <w:r w:rsidRPr="00C06DBA">
        <w:rPr>
          <w:i/>
          <w:iCs/>
          <w:lang w:eastAsia="en-AU"/>
        </w:rPr>
        <w:t>Health and Human Rights</w:t>
      </w:r>
      <w:r w:rsidRPr="00C06DBA">
        <w:rPr>
          <w:lang w:eastAsia="en-AU"/>
        </w:rPr>
        <w:t xml:space="preserve"> 163</w:t>
      </w:r>
      <w:r w:rsidR="007E7672">
        <w:rPr>
          <w:lang w:eastAsia="en-AU"/>
        </w:rPr>
        <w:t>.</w:t>
      </w:r>
    </w:p>
    <w:p w14:paraId="6B250FE1" w14:textId="421F1BB4" w:rsidR="005256E5" w:rsidRPr="005256E5" w:rsidRDefault="005256E5" w:rsidP="007D13C6">
      <w:pPr>
        <w:pStyle w:val="Bullet"/>
        <w:spacing w:before="240"/>
        <w:ind w:left="714" w:hanging="357"/>
        <w:rPr>
          <w:lang w:eastAsia="en-AU"/>
        </w:rPr>
      </w:pPr>
      <w:r>
        <w:rPr>
          <w:lang w:eastAsia="en-AU"/>
        </w:rPr>
        <w:lastRenderedPageBreak/>
        <w:t>Sebastian Von Peter</w:t>
      </w:r>
      <w:r w:rsidRPr="005256E5">
        <w:rPr>
          <w:lang w:eastAsia="en-AU"/>
        </w:rPr>
        <w:t xml:space="preserve"> et al, ‘Open </w:t>
      </w:r>
      <w:r w:rsidRPr="005256E5">
        <w:t>Dialogue</w:t>
      </w:r>
      <w:r w:rsidRPr="005256E5">
        <w:rPr>
          <w:lang w:eastAsia="en-AU"/>
        </w:rPr>
        <w:t xml:space="preserve"> as a Human Rights-Aligned Approach’ (2019) 10 </w:t>
      </w:r>
      <w:r w:rsidRPr="005256E5">
        <w:rPr>
          <w:i/>
          <w:iCs/>
          <w:lang w:eastAsia="en-AU"/>
        </w:rPr>
        <w:t>Frontiers in Psychiatry</w:t>
      </w:r>
      <w:r w:rsidRPr="005256E5">
        <w:rPr>
          <w:lang w:eastAsia="en-AU"/>
        </w:rPr>
        <w:t xml:space="preserve"> 387</w:t>
      </w:r>
      <w:r w:rsidR="007E7672">
        <w:rPr>
          <w:lang w:eastAsia="en-AU"/>
        </w:rPr>
        <w:t>.</w:t>
      </w:r>
    </w:p>
    <w:p w14:paraId="026BFEB6" w14:textId="6203BB96" w:rsidR="001012D5" w:rsidRDefault="00485582" w:rsidP="007D13C6">
      <w:pPr>
        <w:pStyle w:val="Bullet"/>
        <w:spacing w:before="240"/>
        <w:ind w:left="714" w:hanging="357"/>
        <w:rPr>
          <w:lang w:eastAsia="en-AU"/>
        </w:rPr>
      </w:pPr>
      <w:r>
        <w:rPr>
          <w:lang w:eastAsia="en-AU"/>
        </w:rPr>
        <w:t>D</w:t>
      </w:r>
      <w:r w:rsidRPr="00485582">
        <w:rPr>
          <w:lang w:eastAsia="en-AU"/>
        </w:rPr>
        <w:t xml:space="preserve">ainius Puras and Piers Gooding, ‘Mental Health and Human Rights in the 21st Century’ (2019) 18(1) </w:t>
      </w:r>
      <w:r w:rsidRPr="00485582">
        <w:rPr>
          <w:i/>
          <w:iCs/>
          <w:lang w:eastAsia="en-AU"/>
        </w:rPr>
        <w:t>World Psychiatry</w:t>
      </w:r>
      <w:r w:rsidRPr="00485582">
        <w:rPr>
          <w:lang w:eastAsia="en-AU"/>
        </w:rPr>
        <w:t xml:space="preserve"> 42</w:t>
      </w:r>
      <w:r w:rsidR="001012D5">
        <w:rPr>
          <w:lang w:eastAsia="en-AU"/>
        </w:rPr>
        <w:t>.</w:t>
      </w:r>
    </w:p>
    <w:p w14:paraId="4A3F5FCD" w14:textId="1A34538A" w:rsidR="00732A8E" w:rsidRPr="00732A8E" w:rsidRDefault="00732A8E" w:rsidP="007D13C6">
      <w:pPr>
        <w:pStyle w:val="Bullet"/>
        <w:spacing w:before="240"/>
        <w:ind w:left="714" w:hanging="357"/>
        <w:rPr>
          <w:lang w:eastAsia="en-AU"/>
        </w:rPr>
      </w:pPr>
      <w:r w:rsidRPr="00732A8E">
        <w:rPr>
          <w:lang w:eastAsia="en-AU"/>
        </w:rPr>
        <w:t xml:space="preserve">Vrinda </w:t>
      </w:r>
      <w:r w:rsidR="00E94C9B">
        <w:rPr>
          <w:lang w:eastAsia="en-AU"/>
        </w:rPr>
        <w:t xml:space="preserve">Edan </w:t>
      </w:r>
      <w:r w:rsidRPr="00732A8E">
        <w:rPr>
          <w:lang w:eastAsia="en-AU"/>
        </w:rPr>
        <w:t xml:space="preserve">and Chris Maylea, ‘A Model for Mental Health Advance Directives in the New Victorian Mental Health and Wellbeing Act’ [2021] </w:t>
      </w:r>
      <w:r w:rsidRPr="00732A8E">
        <w:rPr>
          <w:i/>
          <w:iCs/>
          <w:lang w:eastAsia="en-AU"/>
        </w:rPr>
        <w:t>Psychiatry, Psychology and Law</w:t>
      </w:r>
      <w:r w:rsidRPr="00732A8E">
        <w:rPr>
          <w:lang w:eastAsia="en-AU"/>
        </w:rPr>
        <w:t xml:space="preserve"> 1</w:t>
      </w:r>
    </w:p>
    <w:p w14:paraId="40C39F34" w14:textId="1E9AF3FE" w:rsidR="005D4030" w:rsidRDefault="00E94C9B" w:rsidP="007D13C6">
      <w:pPr>
        <w:pStyle w:val="Bullet"/>
        <w:spacing w:before="240"/>
        <w:ind w:left="714" w:hanging="357"/>
        <w:rPr>
          <w:lang w:eastAsia="en-AU"/>
        </w:rPr>
      </w:pPr>
      <w:r>
        <w:rPr>
          <w:lang w:eastAsia="en-AU"/>
        </w:rPr>
        <w:t xml:space="preserve">Juliet </w:t>
      </w:r>
      <w:r w:rsidR="005D4030" w:rsidRPr="005D4030">
        <w:rPr>
          <w:lang w:eastAsia="en-AU"/>
        </w:rPr>
        <w:t xml:space="preserve">Watson et al, </w:t>
      </w:r>
      <w:r w:rsidR="005D4030" w:rsidRPr="005D4030">
        <w:rPr>
          <w:i/>
          <w:iCs/>
          <w:lang w:eastAsia="en-AU"/>
        </w:rPr>
        <w:t>Preventing Gender-Based Violence in Mental Health Inpatient Units</w:t>
      </w:r>
      <w:r w:rsidR="005D4030" w:rsidRPr="005D4030">
        <w:rPr>
          <w:lang w:eastAsia="en-AU"/>
        </w:rPr>
        <w:t xml:space="preserve"> (Australia’s National Research Organisation for Women’s Safety, 2020)</w:t>
      </w:r>
    </w:p>
    <w:p w14:paraId="57B45542" w14:textId="41DA98B8" w:rsidR="00017C60" w:rsidRDefault="00E94C9B" w:rsidP="007D13C6">
      <w:pPr>
        <w:pStyle w:val="Bullet"/>
        <w:spacing w:before="240"/>
        <w:ind w:left="714" w:hanging="357"/>
        <w:rPr>
          <w:lang w:eastAsia="en-AU"/>
        </w:rPr>
      </w:pPr>
      <w:r w:rsidRPr="00E94C9B">
        <w:rPr>
          <w:lang w:eastAsia="en-AU"/>
        </w:rPr>
        <w:t xml:space="preserve">Chris </w:t>
      </w:r>
      <w:r>
        <w:rPr>
          <w:lang w:eastAsia="en-AU"/>
        </w:rPr>
        <w:t xml:space="preserve">Maylea </w:t>
      </w:r>
      <w:r w:rsidRPr="00E94C9B">
        <w:rPr>
          <w:lang w:eastAsia="en-AU"/>
        </w:rPr>
        <w:t xml:space="preserve">and Asher Hirsch, ‘The Right to Refuse: The Victorian Mental Health Act 2014 and the Convention on the Rights of Persons with Disabilities’ (2017) 42(2) </w:t>
      </w:r>
      <w:r w:rsidRPr="00E94C9B">
        <w:rPr>
          <w:i/>
          <w:iCs/>
          <w:lang w:eastAsia="en-AU"/>
        </w:rPr>
        <w:t>Alternative Law Journal</w:t>
      </w:r>
      <w:r w:rsidRPr="00E94C9B">
        <w:rPr>
          <w:lang w:eastAsia="en-AU"/>
        </w:rPr>
        <w:t xml:space="preserve"> 149</w:t>
      </w:r>
      <w:r w:rsidR="007A2ECD">
        <w:rPr>
          <w:lang w:eastAsia="en-AU"/>
        </w:rPr>
        <w:t>.</w:t>
      </w:r>
    </w:p>
    <w:p w14:paraId="4288F4B5" w14:textId="7E707C43" w:rsidR="00560BE6" w:rsidRPr="00560BE6" w:rsidRDefault="00560BE6" w:rsidP="007D13C6">
      <w:pPr>
        <w:pStyle w:val="Heading3-report"/>
        <w:spacing w:before="240"/>
      </w:pPr>
      <w:r>
        <w:t>Co-production and co-design resources</w:t>
      </w:r>
    </w:p>
    <w:p w14:paraId="0D0242D1" w14:textId="2355FA95" w:rsidR="00732A8E" w:rsidRDefault="00732A8E" w:rsidP="007D13C6">
      <w:pPr>
        <w:pStyle w:val="Bullet"/>
        <w:spacing w:before="240"/>
        <w:ind w:left="714" w:hanging="357"/>
        <w:rPr>
          <w:lang w:eastAsia="en-AU"/>
        </w:rPr>
      </w:pPr>
      <w:r w:rsidRPr="00732A8E">
        <w:rPr>
          <w:lang w:eastAsia="en-AU"/>
        </w:rPr>
        <w:t>Vrinda</w:t>
      </w:r>
      <w:r w:rsidR="00E94C9B">
        <w:rPr>
          <w:lang w:eastAsia="en-AU"/>
        </w:rPr>
        <w:t xml:space="preserve"> Edan</w:t>
      </w:r>
      <w:r w:rsidRPr="00732A8E">
        <w:rPr>
          <w:lang w:eastAsia="en-AU"/>
        </w:rPr>
        <w:t xml:space="preserve"> et al, ‘Employed but Not Included: The Case of Consumer-Workers in Mental Health Care Services’ [2021] </w:t>
      </w:r>
      <w:r w:rsidRPr="00732A8E">
        <w:rPr>
          <w:i/>
          <w:iCs/>
          <w:lang w:eastAsia="en-AU"/>
        </w:rPr>
        <w:t>The International Journal of Human Resource Management</w:t>
      </w:r>
      <w:r w:rsidRPr="00732A8E">
        <w:rPr>
          <w:lang w:eastAsia="en-AU"/>
        </w:rPr>
        <w:t xml:space="preserve"> 1</w:t>
      </w:r>
    </w:p>
    <w:p w14:paraId="1F0C234D" w14:textId="3AE933E8" w:rsidR="00861892" w:rsidRDefault="00861892" w:rsidP="007D13C6">
      <w:pPr>
        <w:pStyle w:val="Bullet"/>
        <w:spacing w:before="240"/>
        <w:ind w:left="714" w:hanging="357"/>
      </w:pPr>
      <w:r>
        <w:t>Susan</w:t>
      </w:r>
      <w:r w:rsidR="00E94C9B">
        <w:t xml:space="preserve"> Ainsworth</w:t>
      </w:r>
      <w:r>
        <w:t xml:space="preserve"> et al, </w:t>
      </w:r>
      <w:r>
        <w:rPr>
          <w:i/>
          <w:iCs/>
        </w:rPr>
        <w:t>Leading the Change: Co-Producing Safe, Inclusive Workplaces for Consumer Mental Health Workers</w:t>
      </w:r>
      <w:r>
        <w:t xml:space="preserve"> (VMIAC &amp; University of Melbourne, 2020) &lt;</w:t>
      </w:r>
      <w:hyperlink r:id="rId62" w:history="1">
        <w:r>
          <w:rPr>
            <w:rStyle w:val="Hyperlink"/>
          </w:rPr>
          <w:t>https://socialequity.unimelb.edu.au/__data/assets/pdf_file/0005/3532820/Leading-the-Change-Report-2020.pdf</w:t>
        </w:r>
      </w:hyperlink>
      <w:r>
        <w:t>&gt;</w:t>
      </w:r>
    </w:p>
    <w:p w14:paraId="42065E5B" w14:textId="40AE01EB" w:rsidR="00187AD3" w:rsidRPr="00187AD3" w:rsidRDefault="00187AD3" w:rsidP="007D13C6">
      <w:pPr>
        <w:pStyle w:val="Bullet"/>
        <w:spacing w:before="240"/>
        <w:ind w:left="714" w:hanging="357"/>
        <w:rPr>
          <w:lang w:eastAsia="en-AU"/>
        </w:rPr>
      </w:pPr>
      <w:r w:rsidRPr="00187AD3">
        <w:rPr>
          <w:lang w:eastAsia="en-AU"/>
        </w:rPr>
        <w:t>Indigo</w:t>
      </w:r>
      <w:r>
        <w:rPr>
          <w:lang w:eastAsia="en-AU"/>
        </w:rPr>
        <w:t xml:space="preserve"> Daya</w:t>
      </w:r>
      <w:r w:rsidRPr="00187AD3">
        <w:rPr>
          <w:lang w:eastAsia="en-AU"/>
        </w:rPr>
        <w:t xml:space="preserve">, Bridget Hamilton and Cath Roper, ‘Authentic Engagement: A Conceptual Model for Welcoming Diverse and Challenging Consumer and Survivor Views in Mental Health Research, Policy, and Practice’ (2020) 29(2) </w:t>
      </w:r>
      <w:r w:rsidRPr="007E7672">
        <w:rPr>
          <w:i/>
          <w:iCs/>
          <w:lang w:eastAsia="en-AU"/>
        </w:rPr>
        <w:t>International journal of mental health nursing</w:t>
      </w:r>
      <w:r w:rsidRPr="00187AD3">
        <w:rPr>
          <w:lang w:eastAsia="en-AU"/>
        </w:rPr>
        <w:t xml:space="preserve"> 299</w:t>
      </w:r>
      <w:r w:rsidR="00836FFE">
        <w:rPr>
          <w:lang w:eastAsia="en-AU"/>
        </w:rPr>
        <w:t>.</w:t>
      </w:r>
    </w:p>
    <w:p w14:paraId="0F357201" w14:textId="70A7F16B" w:rsidR="00861892" w:rsidRPr="00732A8E" w:rsidRDefault="007A2ECD" w:rsidP="007D13C6">
      <w:pPr>
        <w:pStyle w:val="Bullet"/>
        <w:spacing w:before="240"/>
        <w:ind w:left="714" w:hanging="357"/>
        <w:rPr>
          <w:lang w:eastAsia="en-AU"/>
        </w:rPr>
      </w:pPr>
      <w:r w:rsidRPr="007A2ECD">
        <w:rPr>
          <w:lang w:eastAsia="en-AU"/>
        </w:rPr>
        <w:t>Kelly Ann McKercher, ‘Beyond Sticky Notes’ [2020] Doing co-design for Real: Mindsets, Methods, and Movements, 1st Edn. Sydney, NSW: Beyond Sticky Notes</w:t>
      </w:r>
      <w:r>
        <w:rPr>
          <w:lang w:eastAsia="en-AU"/>
        </w:rPr>
        <w:t>.</w:t>
      </w:r>
    </w:p>
    <w:p w14:paraId="686E4252" w14:textId="77777777" w:rsidR="00406F25" w:rsidRPr="00732A8E" w:rsidRDefault="00406F25" w:rsidP="00E225B4">
      <w:pPr>
        <w:pStyle w:val="ListParagraph"/>
        <w:numPr>
          <w:ilvl w:val="0"/>
          <w:numId w:val="11"/>
        </w:numPr>
        <w:rPr>
          <w:b/>
          <w:bCs/>
          <w:color w:val="201547"/>
          <w:sz w:val="48"/>
          <w:szCs w:val="48"/>
        </w:rPr>
      </w:pPr>
      <w:r>
        <w:br w:type="page"/>
      </w:r>
    </w:p>
    <w:p w14:paraId="624AAF0E" w14:textId="05CD1BB9" w:rsidR="00737BF6" w:rsidRDefault="00406F25" w:rsidP="00406F25">
      <w:pPr>
        <w:pStyle w:val="Heading1-report"/>
      </w:pPr>
      <w:r>
        <w:lastRenderedPageBreak/>
        <w:t>A</w:t>
      </w:r>
      <w:r w:rsidR="00C17D6C">
        <w:t>bout the a</w:t>
      </w:r>
      <w:r>
        <w:t>uthors</w:t>
      </w:r>
    </w:p>
    <w:p w14:paraId="1CF2DB4B" w14:textId="7CBDE634" w:rsidR="004B1972" w:rsidRPr="004A0ED0" w:rsidRDefault="00C1367D" w:rsidP="00C1367D">
      <w:pPr>
        <w:pStyle w:val="Heading3-report"/>
      </w:pPr>
      <w:r>
        <w:t>Simon Katterl</w:t>
      </w:r>
    </w:p>
    <w:p w14:paraId="76B55EFE" w14:textId="3D9C1622" w:rsidR="00C821F7" w:rsidRDefault="00622304" w:rsidP="00C1367D">
      <w:r>
        <w:t>Simon Katterl is the owner of</w:t>
      </w:r>
      <w:r w:rsidR="00E9144D">
        <w:t xml:space="preserve"> </w:t>
      </w:r>
      <w:r>
        <w:t>Simon Katterl Consulting.</w:t>
      </w:r>
      <w:r w:rsidR="00C821F7">
        <w:t xml:space="preserve"> He is a consultant to government, mental health, </w:t>
      </w:r>
      <w:r w:rsidR="00C4332F">
        <w:t xml:space="preserve">the Royal Commission into Victoria’s Mental Health System, </w:t>
      </w:r>
      <w:r w:rsidR="00C821F7">
        <w:t>and legal services on issues of mental health law, human rights, co-design and consumer leadership.</w:t>
      </w:r>
    </w:p>
    <w:p w14:paraId="7054E890" w14:textId="441FE8EA" w:rsidR="00C1367D" w:rsidRDefault="00C821F7" w:rsidP="00C1367D">
      <w:r>
        <w:t xml:space="preserve">Prior to consulting, Simon </w:t>
      </w:r>
      <w:r w:rsidR="00D00FF3">
        <w:t xml:space="preserve">worked in consumer and non-consumer designated roles at Victorian Mental Illness Awareness Council, Victoria Legal Aid, Independent Mental Health Advocacy, the Mental Health Complaints Commissioner, </w:t>
      </w:r>
      <w:r w:rsidR="00CE3DF4">
        <w:t xml:space="preserve">and </w:t>
      </w:r>
      <w:r w:rsidR="00D00FF3">
        <w:t>the Victorian Equal Opportunity and Human Rights Commission.</w:t>
      </w:r>
      <w:r w:rsidR="00C4332F">
        <w:t xml:space="preserve"> Prior to working in mental health Simon worked in aid and development in East Timor.</w:t>
      </w:r>
    </w:p>
    <w:p w14:paraId="1DC5037B" w14:textId="7EA241BA" w:rsidR="00C4332F" w:rsidRDefault="00C4332F" w:rsidP="00C1367D">
      <w:r>
        <w:t>Simon has lived experience of mental health issues and using both private and public (community) mental health services. He holds a Bachelor of Arts (International Relations) and a Bachelor of Laws (Hons) from Griffith University, a Graduate Diploma in Psychology from the University of Melbourne, and is completing a Masters of Regulation and Governance at the Australian National University.</w:t>
      </w:r>
    </w:p>
    <w:p w14:paraId="0E89F485" w14:textId="4B6C21D5" w:rsidR="00C1367D" w:rsidRDefault="00C1367D" w:rsidP="00C1367D">
      <w:pPr>
        <w:pStyle w:val="Heading3-report"/>
      </w:pPr>
      <w:r>
        <w:t>Kerin Leonard</w:t>
      </w:r>
    </w:p>
    <w:p w14:paraId="4E680944" w14:textId="77777777" w:rsidR="00144697" w:rsidRDefault="00C1367D" w:rsidP="00C1367D">
      <w:r>
        <w:t xml:space="preserve">Kerin Leonard is the Director of Lionheart Consulting Australia. </w:t>
      </w:r>
    </w:p>
    <w:p w14:paraId="226990B2" w14:textId="06B03CFE" w:rsidR="00144697" w:rsidRDefault="00144697" w:rsidP="00C1367D">
      <w:r>
        <w:t>Prior to becoming an independent consultant, Kerin was the senior executive responsible for community engagement at the Royal Commission into Victoria’s Mental Health System.</w:t>
      </w:r>
    </w:p>
    <w:p w14:paraId="49DE881D" w14:textId="369C0602" w:rsidR="00011D76" w:rsidRDefault="00144697" w:rsidP="00C1367D">
      <w:r>
        <w:t>During her public service career, Kerin was</w:t>
      </w:r>
      <w:r w:rsidR="009A3E09">
        <w:t xml:space="preserve"> the head of legal at the Victorian Equal Opportunity and Human Rights Commission </w:t>
      </w:r>
      <w:r w:rsidR="00EF0543">
        <w:t xml:space="preserve">for five years </w:t>
      </w:r>
      <w:r w:rsidR="009A3E09">
        <w:t xml:space="preserve">and led the </w:t>
      </w:r>
      <w:r w:rsidR="005E4155">
        <w:t>s</w:t>
      </w:r>
      <w:r w:rsidR="009A3E09">
        <w:t xml:space="preserve">ecretariat </w:t>
      </w:r>
      <w:r w:rsidR="005E4155">
        <w:t xml:space="preserve">supporting the </w:t>
      </w:r>
      <w:r w:rsidR="00EF0543">
        <w:t xml:space="preserve">statutory </w:t>
      </w:r>
      <w:r w:rsidR="005E4155">
        <w:t xml:space="preserve">eight-year </w:t>
      </w:r>
      <w:r w:rsidR="009A3E09">
        <w:t xml:space="preserve">review of the </w:t>
      </w:r>
      <w:r w:rsidR="009A3E09" w:rsidRPr="00C234E1">
        <w:t>Charter</w:t>
      </w:r>
      <w:r w:rsidR="009A3E09">
        <w:t>.</w:t>
      </w:r>
      <w:r>
        <w:t xml:space="preserve"> </w:t>
      </w:r>
      <w:r w:rsidR="00011D76">
        <w:t xml:space="preserve">Kerin was </w:t>
      </w:r>
      <w:r>
        <w:t xml:space="preserve">also </w:t>
      </w:r>
      <w:r w:rsidR="00011D76">
        <w:t>previously a Principal Legal Officer in the International Human Rights and Security Law Branch of the Australian Government Attorney-General’s Department.</w:t>
      </w:r>
    </w:p>
    <w:p w14:paraId="2D0408C9" w14:textId="147483E1" w:rsidR="00011D76" w:rsidRDefault="00011D76" w:rsidP="00C1367D">
      <w:r>
        <w:t xml:space="preserve">Kerin holds </w:t>
      </w:r>
      <w:r w:rsidR="00710465">
        <w:t xml:space="preserve">a </w:t>
      </w:r>
      <w:r>
        <w:t xml:space="preserve">Bachelor of Arts and </w:t>
      </w:r>
      <w:r w:rsidR="00710465">
        <w:t xml:space="preserve">a Bachelor of </w:t>
      </w:r>
      <w:r>
        <w:t>Law</w:t>
      </w:r>
      <w:r w:rsidR="000F52DF">
        <w:t>s</w:t>
      </w:r>
      <w:r>
        <w:t xml:space="preserve"> (Hons 1) from the Australian National University and a Master of Law </w:t>
      </w:r>
      <w:r w:rsidR="00C87795">
        <w:t xml:space="preserve">(International Law) </w:t>
      </w:r>
      <w:r>
        <w:t xml:space="preserve">from the University of Edinburgh. </w:t>
      </w:r>
    </w:p>
    <w:p w14:paraId="20B387A5" w14:textId="4E8442BF" w:rsidR="00011D76" w:rsidRPr="009A3E09" w:rsidRDefault="00011D76" w:rsidP="00C1367D">
      <w:r>
        <w:t xml:space="preserve">In 2015 Kerin was awarded the </w:t>
      </w:r>
      <w:r w:rsidR="00E21F95">
        <w:t>Paul Baker Awa</w:t>
      </w:r>
      <w:r w:rsidR="000F52DF">
        <w:t>rd</w:t>
      </w:r>
      <w:r w:rsidR="00E21F95">
        <w:t xml:space="preserve"> by the Law Institute of Victoria for significant and outstanding contribution in human rights.</w:t>
      </w:r>
    </w:p>
    <w:p w14:paraId="2C8CA29E" w14:textId="783CD8BD" w:rsidR="005D6D4B" w:rsidRDefault="005D6D4B"/>
    <w:p w14:paraId="0D9911AE" w14:textId="77777777" w:rsidR="00C5468E" w:rsidRDefault="00C5468E">
      <w:pPr>
        <w:rPr>
          <w:b/>
          <w:bCs/>
          <w:color w:val="377375"/>
          <w:sz w:val="48"/>
          <w:szCs w:val="48"/>
        </w:rPr>
      </w:pPr>
      <w:bookmarkStart w:id="1" w:name="_Toc80956512"/>
      <w:r>
        <w:br w:type="page"/>
      </w:r>
    </w:p>
    <w:bookmarkEnd w:id="1"/>
    <w:p w14:paraId="54943BC9" w14:textId="1A8C2DB1" w:rsidR="007C6193" w:rsidRDefault="007C6193">
      <w:pPr>
        <w:rPr>
          <w:i/>
          <w:iCs/>
        </w:rPr>
        <w:sectPr w:rsidR="007C6193" w:rsidSect="00271E88">
          <w:pgSz w:w="11906" w:h="16838"/>
          <w:pgMar w:top="1440" w:right="1418" w:bottom="1440" w:left="1418" w:header="708" w:footer="708" w:gutter="0"/>
          <w:cols w:space="708"/>
          <w:titlePg/>
          <w:docGrid w:linePitch="360"/>
        </w:sectPr>
      </w:pPr>
    </w:p>
    <w:p w14:paraId="22322C1B" w14:textId="1ECDF376" w:rsidR="004B1972" w:rsidRDefault="002929D7">
      <w:r w:rsidRPr="004B1972">
        <w:rPr>
          <w:noProof/>
          <w:color w:val="FFFFFF" w:themeColor="background1"/>
          <w:sz w:val="20"/>
          <w:szCs w:val="20"/>
        </w:rPr>
        <w:lastRenderedPageBreak/>
        <mc:AlternateContent>
          <mc:Choice Requires="wps">
            <w:drawing>
              <wp:anchor distT="0" distB="0" distL="114300" distR="114300" simplePos="0" relativeHeight="251658243" behindDoc="1" locked="0" layoutInCell="1" allowOverlap="1" wp14:anchorId="32B3129E" wp14:editId="4101AEF0">
                <wp:simplePos x="0" y="0"/>
                <wp:positionH relativeFrom="page">
                  <wp:align>left</wp:align>
                </wp:positionH>
                <wp:positionV relativeFrom="paragraph">
                  <wp:posOffset>-914400</wp:posOffset>
                </wp:positionV>
                <wp:extent cx="7748752" cy="10715625"/>
                <wp:effectExtent l="0" t="0" r="24130" b="28575"/>
                <wp:wrapNone/>
                <wp:docPr id="4" name="Rectangle 4"/>
                <wp:cNvGraphicFramePr/>
                <a:graphic xmlns:a="http://schemas.openxmlformats.org/drawingml/2006/main">
                  <a:graphicData uri="http://schemas.microsoft.com/office/word/2010/wordprocessingShape">
                    <wps:wsp>
                      <wps:cNvSpPr/>
                      <wps:spPr>
                        <a:xfrm>
                          <a:off x="0" y="0"/>
                          <a:ext cx="7748752" cy="10715625"/>
                        </a:xfrm>
                        <a:prstGeom prst="rect">
                          <a:avLst/>
                        </a:prstGeom>
                        <a:solidFill>
                          <a:srgbClr val="20154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5C96B48" id="Rectangle 4" o:spid="_x0000_s1026" style="position:absolute;margin-left:0;margin-top:-1in;width:610.15pt;height:843.75pt;z-index:-25165823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" fillcolor="#201547" strokecolor="#1b383a [1604]" strokeweight="1pt">
                <w10:wrap anchorx="page"/>
              </v:rect>
            </w:pict>
          </mc:Fallback>
        </mc:AlternateContent>
      </w:r>
    </w:p>
    <w:p w14:paraId="249E4EBC" w14:textId="50EEF830" w:rsidR="004B1972" w:rsidRDefault="004B1972"/>
    <w:p w14:paraId="6173BFBF" w14:textId="7CF7F9E4" w:rsidR="004B1972" w:rsidRDefault="004B1972"/>
    <w:p w14:paraId="1E7E3B04" w14:textId="5772502B" w:rsidR="004B1972" w:rsidRDefault="004B1972"/>
    <w:p w14:paraId="101529D8" w14:textId="007C78A5" w:rsidR="004B1972" w:rsidRDefault="004B1972"/>
    <w:p w14:paraId="0179F948" w14:textId="3EFC0AC0" w:rsidR="004B1972" w:rsidRDefault="004B1972"/>
    <w:p w14:paraId="6A315567" w14:textId="44744FF7" w:rsidR="004B1972" w:rsidRDefault="004B1972"/>
    <w:p w14:paraId="6444975F" w14:textId="3C795C81" w:rsidR="004B1972" w:rsidRDefault="004B1972"/>
    <w:p w14:paraId="02FD5F22" w14:textId="2F9D86CB" w:rsidR="004B1972" w:rsidRDefault="004B1972"/>
    <w:p w14:paraId="5CB2B9E1" w14:textId="43A27C76" w:rsidR="004B1972" w:rsidRDefault="004B1972"/>
    <w:p w14:paraId="299DE95B" w14:textId="0082DE28" w:rsidR="004B1972" w:rsidRDefault="004B1972"/>
    <w:p w14:paraId="7B51250F" w14:textId="28DAAAED" w:rsidR="004B1972" w:rsidRDefault="004B1972"/>
    <w:p w14:paraId="09306712" w14:textId="1F833611" w:rsidR="004B1972" w:rsidRDefault="004B1972" w:rsidP="001D78A4">
      <w:pPr>
        <w:jc w:val="center"/>
      </w:pPr>
    </w:p>
    <w:sectPr w:rsidR="004B1972" w:rsidSect="00271E88">
      <w:headerReference w:type="first" r:id="rId63"/>
      <w:footerReference w:type="first" r:id="rId64"/>
      <w:pgSz w:w="11906" w:h="16838"/>
      <w:pgMar w:top="1440" w:right="1418" w:bottom="1440"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B1F21" w14:textId="77777777" w:rsidR="00421BF7" w:rsidRDefault="00421BF7" w:rsidP="004B1972">
      <w:pPr>
        <w:spacing w:after="0" w:line="240" w:lineRule="auto"/>
      </w:pPr>
      <w:r>
        <w:separator/>
      </w:r>
    </w:p>
  </w:endnote>
  <w:endnote w:type="continuationSeparator" w:id="0">
    <w:p w14:paraId="6E694B52" w14:textId="77777777" w:rsidR="00421BF7" w:rsidRDefault="00421BF7" w:rsidP="004B1972">
      <w:pPr>
        <w:spacing w:after="0" w:line="240" w:lineRule="auto"/>
      </w:pPr>
      <w:r>
        <w:continuationSeparator/>
      </w:r>
    </w:p>
  </w:endnote>
  <w:endnote w:type="continuationNotice" w:id="1">
    <w:p w14:paraId="1215FA22" w14:textId="77777777" w:rsidR="00421BF7" w:rsidRDefault="00421B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4C10" w14:textId="55F0A399" w:rsidR="004B1972" w:rsidRPr="004B1972" w:rsidRDefault="00602499" w:rsidP="004B1972">
    <w:pPr>
      <w:pStyle w:val="Footer"/>
      <w:rPr>
        <w:color w:val="FFFFFF" w:themeColor="background1"/>
      </w:rPr>
    </w:pPr>
    <w:sdt>
      <w:sdtPr>
        <w:rPr>
          <w:color w:val="FFFFFF" w:themeColor="background1"/>
        </w:rPr>
        <w:id w:val="-1059556535"/>
        <w:docPartObj>
          <w:docPartGallery w:val="Page Numbers (Bottom of Page)"/>
          <w:docPartUnique/>
        </w:docPartObj>
      </w:sdtPr>
      <w:sdtEndPr>
        <w:rPr>
          <w:noProof/>
        </w:rPr>
      </w:sdtEndPr>
      <w:sdtContent>
        <w:r w:rsidR="004B1972">
          <w:rPr>
            <w:color w:val="FFFFFF" w:themeColor="background1"/>
          </w:rPr>
          <w:br/>
        </w:r>
      </w:sdtContent>
    </w:sdt>
  </w:p>
  <w:p w14:paraId="1B072D2F" w14:textId="79F8F70F" w:rsidR="004B1972" w:rsidRDefault="000463F8">
    <w:pPr>
      <w:pStyle w:val="Footer"/>
    </w:pPr>
    <w:r w:rsidRPr="000552C6">
      <w:rPr>
        <w:noProof/>
        <w:color w:val="201547"/>
      </w:rPr>
      <mc:AlternateContent>
        <mc:Choice Requires="wps">
          <w:drawing>
            <wp:anchor distT="0" distB="0" distL="114300" distR="114300" simplePos="0" relativeHeight="251658244" behindDoc="1" locked="0" layoutInCell="1" allowOverlap="1" wp14:anchorId="09EE7963" wp14:editId="62E90E78">
              <wp:simplePos x="0" y="0"/>
              <wp:positionH relativeFrom="page">
                <wp:posOffset>-41565</wp:posOffset>
              </wp:positionH>
              <wp:positionV relativeFrom="paragraph">
                <wp:posOffset>1905</wp:posOffset>
              </wp:positionV>
              <wp:extent cx="7744691" cy="925739"/>
              <wp:effectExtent l="0" t="0" r="27940" b="27305"/>
              <wp:wrapNone/>
              <wp:docPr id="6" name="Rectangle 6"/>
              <wp:cNvGraphicFramePr/>
              <a:graphic xmlns:a="http://schemas.openxmlformats.org/drawingml/2006/main">
                <a:graphicData uri="http://schemas.microsoft.com/office/word/2010/wordprocessingShape">
                  <wps:wsp>
                    <wps:cNvSpPr/>
                    <wps:spPr>
                      <a:xfrm>
                        <a:off x="0" y="0"/>
                        <a:ext cx="7744691" cy="925739"/>
                      </a:xfrm>
                      <a:prstGeom prst="rect">
                        <a:avLst/>
                      </a:prstGeom>
                      <a:solidFill>
                        <a:srgbClr val="20154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B710ACE" id="Rectangle 6" o:spid="_x0000_s1026" style="position:absolute;margin-left:-3.25pt;margin-top:.15pt;width:609.8pt;height:72.9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" fillcolor="#201547" strokecolor="#1b383a [1604]" strokeweight="1pt">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028E" w14:textId="62547259" w:rsidR="00401CB8" w:rsidRDefault="00C52B08">
    <w:pPr>
      <w:pStyle w:val="Footer"/>
      <w:jc w:val="right"/>
    </w:pPr>
    <w:r w:rsidRPr="000552C6">
      <w:rPr>
        <w:noProof/>
        <w:color w:val="201547"/>
      </w:rPr>
      <mc:AlternateContent>
        <mc:Choice Requires="wps">
          <w:drawing>
            <wp:anchor distT="0" distB="0" distL="114300" distR="114300" simplePos="0" relativeHeight="251658247" behindDoc="1" locked="0" layoutInCell="1" allowOverlap="1" wp14:anchorId="02B69917" wp14:editId="31387F2C">
              <wp:simplePos x="0" y="0"/>
              <wp:positionH relativeFrom="page">
                <wp:posOffset>-55419</wp:posOffset>
              </wp:positionH>
              <wp:positionV relativeFrom="paragraph">
                <wp:posOffset>202450</wp:posOffset>
              </wp:positionV>
              <wp:extent cx="8007927" cy="925739"/>
              <wp:effectExtent l="0" t="0" r="12700" b="27305"/>
              <wp:wrapNone/>
              <wp:docPr id="256" name="Rectangle 256"/>
              <wp:cNvGraphicFramePr/>
              <a:graphic xmlns:a="http://schemas.openxmlformats.org/drawingml/2006/main">
                <a:graphicData uri="http://schemas.microsoft.com/office/word/2010/wordprocessingShape">
                  <wps:wsp>
                    <wps:cNvSpPr/>
                    <wps:spPr>
                      <a:xfrm>
                        <a:off x="0" y="0"/>
                        <a:ext cx="8007927" cy="925739"/>
                      </a:xfrm>
                      <a:prstGeom prst="rect">
                        <a:avLst/>
                      </a:prstGeom>
                      <a:solidFill>
                        <a:srgbClr val="20154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B56BA2C" id="Rectangle 256" o:spid="_x0000_s1026" style="position:absolute;margin-left:-4.35pt;margin-top:15.95pt;width:630.55pt;height:72.9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" fillcolor="#201547" strokecolor="#1b383a [1604]" strokeweight="1pt">
              <w10:wrap anchorx="page"/>
            </v:rect>
          </w:pict>
        </mc:Fallback>
      </mc:AlternateContent>
    </w:r>
  </w:p>
  <w:p w14:paraId="059066D2" w14:textId="4E35002C" w:rsidR="00286452" w:rsidRDefault="002864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782F" w14:textId="77777777" w:rsidR="00CE09F7" w:rsidRDefault="00CE09F7">
    <w:pPr>
      <w:pStyle w:val="Footer"/>
    </w:pPr>
    <w:r w:rsidRPr="004B1972">
      <w:rPr>
        <w:noProof/>
        <w:color w:val="FFFFFF" w:themeColor="background1"/>
        <w:sz w:val="20"/>
        <w:szCs w:val="20"/>
      </w:rPr>
      <mc:AlternateContent>
        <mc:Choice Requires="wps">
          <w:drawing>
            <wp:anchor distT="0" distB="0" distL="114300" distR="114300" simplePos="0" relativeHeight="251658243" behindDoc="1" locked="0" layoutInCell="1" allowOverlap="1" wp14:anchorId="41805C8B" wp14:editId="746B268C">
              <wp:simplePos x="0" y="0"/>
              <wp:positionH relativeFrom="page">
                <wp:posOffset>9525</wp:posOffset>
              </wp:positionH>
              <wp:positionV relativeFrom="paragraph">
                <wp:posOffset>57150</wp:posOffset>
              </wp:positionV>
              <wp:extent cx="7534275" cy="5524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7534275"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02211DAA" id="Rectangle 10" o:spid="_x0000_s1026" style="position:absolute;margin-left:.75pt;margin-top:4.5pt;width:593.25pt;height:43.5pt;z-index:-251658237;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" fillcolor="#377375 [3204]" strokecolor="#1b383a [1604]" strokeweight="1pt">
              <w10:wrap anchorx="page"/>
            </v:rect>
          </w:pict>
        </mc:Fallback>
      </mc:AlternateContent>
    </w:r>
    <w:r w:rsidRPr="00CE09F7">
      <w:rPr>
        <w:noProof/>
      </w:rPr>
      <mc:AlternateContent>
        <mc:Choice Requires="wps">
          <w:drawing>
            <wp:anchor distT="45720" distB="45720" distL="114300" distR="114300" simplePos="0" relativeHeight="251658242" behindDoc="0" locked="0" layoutInCell="1" allowOverlap="1" wp14:anchorId="4DB2B1D5" wp14:editId="5B5D24A6">
              <wp:simplePos x="0" y="0"/>
              <wp:positionH relativeFrom="rightMargin">
                <wp:posOffset>-38100</wp:posOffset>
              </wp:positionH>
              <wp:positionV relativeFrom="paragraph">
                <wp:posOffset>158115</wp:posOffset>
              </wp:positionV>
              <wp:extent cx="600075" cy="28575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85750"/>
                      </a:xfrm>
                      <a:prstGeom prst="rect">
                        <a:avLst/>
                      </a:prstGeom>
                      <a:noFill/>
                      <a:ln w="9525">
                        <a:noFill/>
                        <a:miter lim="800000"/>
                        <a:headEnd/>
                        <a:tailEnd/>
                      </a:ln>
                    </wps:spPr>
                    <wps:txbx>
                      <w:txbxContent>
                        <w:p w14:paraId="02D9E0D1" w14:textId="77777777" w:rsidR="00CE09F7" w:rsidRPr="004B1972" w:rsidRDefault="00CE09F7" w:rsidP="00CE09F7">
                          <w:pPr>
                            <w:jc w:val="right"/>
                            <w:rPr>
                              <w:b/>
                              <w:bCs/>
                              <w:color w:val="FFFFFF" w:themeColor="background1"/>
                            </w:rPr>
                          </w:pPr>
                          <w:r w:rsidRPr="004B1972">
                            <w:rPr>
                              <w:b/>
                              <w:bCs/>
                              <w:color w:val="FFFFFF" w:themeColor="background1"/>
                            </w:rPr>
                            <w:fldChar w:fldCharType="begin"/>
                          </w:r>
                          <w:r w:rsidRPr="004B1972">
                            <w:rPr>
                              <w:b/>
                              <w:bCs/>
                              <w:color w:val="FFFFFF" w:themeColor="background1"/>
                            </w:rPr>
                            <w:instrText xml:space="preserve"> PAGE   \* MERGEFORMAT </w:instrText>
                          </w:r>
                          <w:r w:rsidRPr="004B1972">
                            <w:rPr>
                              <w:b/>
                              <w:bCs/>
                              <w:color w:val="FFFFFF" w:themeColor="background1"/>
                            </w:rPr>
                            <w:fldChar w:fldCharType="separate"/>
                          </w:r>
                          <w:r w:rsidRPr="004B1972">
                            <w:rPr>
                              <w:b/>
                              <w:bCs/>
                              <w:noProof/>
                              <w:color w:val="FFFFFF" w:themeColor="background1"/>
                            </w:rPr>
                            <w:t>1</w:t>
                          </w:r>
                          <w:r w:rsidRPr="004B1972">
                            <w:rPr>
                              <w:b/>
                              <w:bCs/>
                              <w:noProof/>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2B1D5" id="_x0000_t202" coordsize="21600,21600" o:spt="202" path="m,l,21600r21600,l21600,xe">
              <v:stroke joinstyle="miter"/>
              <v:path gradientshapeok="t" o:connecttype="rect"/>
            </v:shapetype>
            <v:shape id="Text Box 11" o:spid="_x0000_s1063" type="#_x0000_t202" style="position:absolute;margin-left:-3pt;margin-top:12.45pt;width:47.25pt;height:22.5pt;z-index:25165824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" filled="f" stroked="f">
              <v:textbox>
                <w:txbxContent>
                  <w:p w14:paraId="02D9E0D1" w14:textId="77777777" w:rsidR="00CE09F7" w:rsidRPr="004B1972" w:rsidRDefault="00CE09F7" w:rsidP="00CE09F7">
                    <w:pPr>
                      <w:jc w:val="right"/>
                      <w:rPr>
                        <w:b/>
                        <w:bCs/>
                        <w:color w:val="FFFFFF" w:themeColor="background1"/>
                      </w:rPr>
                    </w:pPr>
                    <w:r w:rsidRPr="004B1972">
                      <w:rPr>
                        <w:b/>
                        <w:bCs/>
                        <w:color w:val="FFFFFF" w:themeColor="background1"/>
                      </w:rPr>
                      <w:fldChar w:fldCharType="begin"/>
                    </w:r>
                    <w:r w:rsidRPr="004B1972">
                      <w:rPr>
                        <w:b/>
                        <w:bCs/>
                        <w:color w:val="FFFFFF" w:themeColor="background1"/>
                      </w:rPr>
                      <w:instrText xml:space="preserve"> PAGE   \* MERGEFORMAT </w:instrText>
                    </w:r>
                    <w:r w:rsidRPr="004B1972">
                      <w:rPr>
                        <w:b/>
                        <w:bCs/>
                        <w:color w:val="FFFFFF" w:themeColor="background1"/>
                      </w:rPr>
                      <w:fldChar w:fldCharType="separate"/>
                    </w:r>
                    <w:r w:rsidRPr="004B1972">
                      <w:rPr>
                        <w:b/>
                        <w:bCs/>
                        <w:noProof/>
                        <w:color w:val="FFFFFF" w:themeColor="background1"/>
                      </w:rPr>
                      <w:t>1</w:t>
                    </w:r>
                    <w:r w:rsidRPr="004B1972">
                      <w:rPr>
                        <w:b/>
                        <w:bCs/>
                        <w:noProof/>
                        <w:color w:val="FFFFFF" w:themeColor="background1"/>
                      </w:rPr>
                      <w:fldChar w:fldCharType="end"/>
                    </w:r>
                  </w:p>
                </w:txbxContent>
              </v:textbox>
              <w10:wrap type="square" anchorx="margin"/>
            </v:shape>
          </w:pict>
        </mc:Fallback>
      </mc:AlternateContent>
    </w:r>
    <w:r w:rsidRPr="00CE09F7">
      <w:rPr>
        <w:noProof/>
      </w:rPr>
      <mc:AlternateContent>
        <mc:Choice Requires="wps">
          <w:drawing>
            <wp:anchor distT="45720" distB="45720" distL="114300" distR="114300" simplePos="0" relativeHeight="251658241" behindDoc="0" locked="0" layoutInCell="1" allowOverlap="1" wp14:anchorId="1F53E034" wp14:editId="6FCCF3F1">
              <wp:simplePos x="0" y="0"/>
              <wp:positionH relativeFrom="column">
                <wp:posOffset>-571500</wp:posOffset>
              </wp:positionH>
              <wp:positionV relativeFrom="paragraph">
                <wp:posOffset>177165</wp:posOffset>
              </wp:positionV>
              <wp:extent cx="1857375" cy="26670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66700"/>
                      </a:xfrm>
                      <a:prstGeom prst="rect">
                        <a:avLst/>
                      </a:prstGeom>
                      <a:noFill/>
                      <a:ln w="9525">
                        <a:noFill/>
                        <a:miter lim="800000"/>
                        <a:headEnd/>
                        <a:tailEnd/>
                      </a:ln>
                    </wps:spPr>
                    <wps:txbx>
                      <w:txbxContent>
                        <w:p w14:paraId="3979FB68" w14:textId="77777777" w:rsidR="00CE09F7" w:rsidRPr="004B1972" w:rsidRDefault="00CE09F7" w:rsidP="00CE09F7">
                          <w:pPr>
                            <w:rPr>
                              <w:b/>
                              <w:bCs/>
                              <w:color w:val="FFFFFF" w:themeColor="background1"/>
                            </w:rPr>
                          </w:pPr>
                          <w:r w:rsidRPr="004B1972">
                            <w:rPr>
                              <w:b/>
                              <w:bCs/>
                              <w:color w:val="FFFFFF" w:themeColor="background1"/>
                            </w:rPr>
                            <w:t>Report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3E034" id="Text Box 12" o:spid="_x0000_s1064" type="#_x0000_t202" style="position:absolute;margin-left:-45pt;margin-top:13.95pt;width:146.2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" filled="f" stroked="f">
              <v:textbox>
                <w:txbxContent>
                  <w:p w14:paraId="3979FB68" w14:textId="77777777" w:rsidR="00CE09F7" w:rsidRPr="004B1972" w:rsidRDefault="00CE09F7" w:rsidP="00CE09F7">
                    <w:pPr>
                      <w:rPr>
                        <w:b/>
                        <w:bCs/>
                        <w:color w:val="FFFFFF" w:themeColor="background1"/>
                      </w:rPr>
                    </w:pPr>
                    <w:r w:rsidRPr="004B1972">
                      <w:rPr>
                        <w:b/>
                        <w:bCs/>
                        <w:color w:val="FFFFFF" w:themeColor="background1"/>
                      </w:rPr>
                      <w:t>Report title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5E43" w14:textId="77777777" w:rsidR="00421BF7" w:rsidRDefault="00421BF7" w:rsidP="004B1972">
      <w:pPr>
        <w:spacing w:after="0" w:line="240" w:lineRule="auto"/>
      </w:pPr>
      <w:r>
        <w:separator/>
      </w:r>
    </w:p>
  </w:footnote>
  <w:footnote w:type="continuationSeparator" w:id="0">
    <w:p w14:paraId="5FBB11CD" w14:textId="77777777" w:rsidR="00421BF7" w:rsidRDefault="00421BF7" w:rsidP="004B1972">
      <w:pPr>
        <w:spacing w:after="0" w:line="240" w:lineRule="auto"/>
      </w:pPr>
      <w:r>
        <w:continuationSeparator/>
      </w:r>
    </w:p>
  </w:footnote>
  <w:footnote w:type="continuationNotice" w:id="1">
    <w:p w14:paraId="69F44478" w14:textId="77777777" w:rsidR="00421BF7" w:rsidRDefault="00421BF7">
      <w:pPr>
        <w:spacing w:after="0" w:line="240" w:lineRule="auto"/>
      </w:pPr>
    </w:p>
  </w:footnote>
  <w:footnote w:id="2">
    <w:p w14:paraId="4A171678" w14:textId="7DC2A4C2" w:rsidR="00EF17DC" w:rsidRPr="00030932" w:rsidRDefault="00EF17DC">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00C234E1" w:rsidRPr="00030932">
        <w:rPr>
          <w:rFonts w:cstheme="minorHAnsi"/>
          <w:sz w:val="16"/>
          <w:szCs w:val="16"/>
        </w:rPr>
        <w:t>Charter</w:t>
      </w:r>
      <w:r w:rsidRPr="00030932">
        <w:rPr>
          <w:rFonts w:cstheme="minorHAnsi"/>
          <w:sz w:val="16"/>
          <w:szCs w:val="16"/>
        </w:rPr>
        <w:t xml:space="preserve"> s </w:t>
      </w:r>
      <w:r w:rsidR="00A95633" w:rsidRPr="00030932">
        <w:rPr>
          <w:rFonts w:cstheme="minorHAnsi"/>
          <w:sz w:val="16"/>
          <w:szCs w:val="16"/>
        </w:rPr>
        <w:t>32(2).</w:t>
      </w:r>
    </w:p>
  </w:footnote>
  <w:footnote w:id="3">
    <w:p w14:paraId="2283E05A" w14:textId="1FC97A59" w:rsidR="00C51FFB" w:rsidRPr="00030932" w:rsidRDefault="00C51FFB">
      <w:pPr>
        <w:pStyle w:val="FootnoteText"/>
        <w:rPr>
          <w:sz w:val="16"/>
          <w:szCs w:val="16"/>
        </w:rPr>
      </w:pPr>
      <w:r w:rsidRPr="00030932">
        <w:rPr>
          <w:rStyle w:val="FootnoteReference"/>
          <w:sz w:val="16"/>
          <w:szCs w:val="16"/>
        </w:rPr>
        <w:footnoteRef/>
      </w:r>
      <w:r w:rsidRPr="00030932">
        <w:rPr>
          <w:sz w:val="16"/>
          <w:szCs w:val="16"/>
        </w:rPr>
        <w:t xml:space="preserve"> You may take note of the right to life (section 9), freedom of movement (section 12), </w:t>
      </w:r>
      <w:r w:rsidR="00656811" w:rsidRPr="00030932">
        <w:rPr>
          <w:sz w:val="16"/>
          <w:szCs w:val="16"/>
        </w:rPr>
        <w:t>taking part in public life (section 1</w:t>
      </w:r>
      <w:r w:rsidR="00030932" w:rsidRPr="00030932">
        <w:rPr>
          <w:sz w:val="16"/>
          <w:szCs w:val="16"/>
        </w:rPr>
        <w:t>8), property rights, and fair hearing (section 24).</w:t>
      </w:r>
    </w:p>
  </w:footnote>
  <w:footnote w:id="4">
    <w:p w14:paraId="6FB1C9C5" w14:textId="4D3525AD" w:rsidR="009E417F" w:rsidRPr="00030932" w:rsidRDefault="009E417F">
      <w:pPr>
        <w:pStyle w:val="FootnoteText"/>
        <w:rPr>
          <w:sz w:val="16"/>
          <w:szCs w:val="16"/>
        </w:rPr>
      </w:pPr>
      <w:r w:rsidRPr="00030932">
        <w:rPr>
          <w:rStyle w:val="FootnoteReference"/>
          <w:sz w:val="16"/>
          <w:szCs w:val="16"/>
        </w:rPr>
        <w:footnoteRef/>
      </w:r>
      <w:r w:rsidRPr="00030932">
        <w:rPr>
          <w:sz w:val="16"/>
          <w:szCs w:val="16"/>
        </w:rPr>
        <w:t xml:space="preserve"> </w:t>
      </w:r>
      <w:r w:rsidRPr="00030932">
        <w:rPr>
          <w:sz w:val="16"/>
          <w:szCs w:val="16"/>
        </w:rPr>
        <w:fldChar w:fldCharType="begin"/>
      </w:r>
      <w:r w:rsidRPr="00030932">
        <w:rPr>
          <w:sz w:val="16"/>
          <w:szCs w:val="16"/>
        </w:rPr>
        <w:instrText xml:space="preserve"> ADDIN ZOTERO_ITEM CSL_CITATION {"citationID":"nWYIxKnY","properties":{"formattedCitation":"Anna Arstein-Kerslake et al, \\uc0\\u8216{}Relational Personhood: A Conception of Legal Personhood with Insights from Disability Rights and Environmental Law\\uc0\\u8217{} (2021) 30(3) {\\i{}Griffith Law Review} 530.","plainCitation":"Anna Arstein-Kerslake et al, ‘Relational Personhood: A Conception of Legal Personhood with Insights from Disability Rights and Environmental Law’ (2021) 30(3) Griffith Law Review 530.","noteIndex":61},"citationItems":[{"id":2140,"uris":["http://zotero.org/users/local/OLPofQUL/items/FKGN5B2R"],"itemData":{"id":2140,"type":"article-journal","container-title":"Griffith Law Review","issue":"3","note":"ISBN: 1038-3441\npublisher: Taylor &amp; Francis","page":"530-555","title":"Relational personhood: a conception of legal personhood with insights from disability rights and environmental law","volume":"30","author":[{"family":"Arstein-Kerslake","given":"Anna"},{"family":"O’Donnell","given":"Erin"},{"family":"Kayess","given":"Rosemary"},{"family":"Watson","given":"Joanne"}],"issued":{"date-parts":[["2021"]]}}}],"schema":"https://github.com/citation-style-language/schema/raw/master/csl-citation.json"} </w:instrText>
      </w:r>
      <w:r w:rsidRPr="00030932">
        <w:rPr>
          <w:sz w:val="16"/>
          <w:szCs w:val="16"/>
        </w:rPr>
        <w:fldChar w:fldCharType="separate"/>
      </w:r>
      <w:r w:rsidRPr="00030932">
        <w:rPr>
          <w:rFonts w:ascii="Calibri" w:hAnsi="Calibri" w:cs="Calibri"/>
          <w:sz w:val="16"/>
          <w:szCs w:val="16"/>
        </w:rPr>
        <w:t xml:space="preserve">Anna Arstein-Kerslake et al, ‘Relational Personhood: A Conception of Legal Personhood with Insights from Disability Rights and Environmental Law’ (2021) 30(3) </w:t>
      </w:r>
      <w:r w:rsidRPr="00030932">
        <w:rPr>
          <w:rFonts w:ascii="Calibri" w:hAnsi="Calibri" w:cs="Calibri"/>
          <w:i/>
          <w:iCs/>
          <w:sz w:val="16"/>
          <w:szCs w:val="16"/>
        </w:rPr>
        <w:t>Griffith Law Review</w:t>
      </w:r>
      <w:r w:rsidRPr="00030932">
        <w:rPr>
          <w:rFonts w:ascii="Calibri" w:hAnsi="Calibri" w:cs="Calibri"/>
          <w:sz w:val="16"/>
          <w:szCs w:val="16"/>
        </w:rPr>
        <w:t xml:space="preserve"> 530.</w:t>
      </w:r>
      <w:r w:rsidRPr="00030932">
        <w:rPr>
          <w:sz w:val="16"/>
          <w:szCs w:val="16"/>
        </w:rPr>
        <w:fldChar w:fldCharType="end"/>
      </w:r>
    </w:p>
  </w:footnote>
  <w:footnote w:id="5">
    <w:p w14:paraId="7D9698E0" w14:textId="21259BC9" w:rsidR="00104869" w:rsidRPr="00030932" w:rsidRDefault="00104869" w:rsidP="00104869">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The Charter and CRPD provisions protect legal personhood and capacity to different degrees. </w:t>
      </w:r>
      <w:r w:rsidRPr="00030932">
        <w:rPr>
          <w:rFonts w:cstheme="minorHAnsi"/>
          <w:sz w:val="16"/>
          <w:szCs w:val="16"/>
        </w:rPr>
        <w:fldChar w:fldCharType="begin"/>
      </w:r>
      <w:r w:rsidR="001131D7" w:rsidRPr="00030932">
        <w:rPr>
          <w:rFonts w:cstheme="minorHAnsi"/>
          <w:sz w:val="16"/>
          <w:szCs w:val="16"/>
        </w:rPr>
        <w:instrText xml:space="preserve"> ADDIN ZOTERO_ITEM CSL_CITATION {"citationID":"sgR94UtK","properties":{"formattedCitation":"Sarah Joseph and Melissa Castan, {\\i{}The International Covenant on Civil and Political Rights: Cases, Materials, and Commentary} (Oxford University Press, 2013) 336 [10.19].","plainCitation":"Sarah Joseph and Melissa Castan, The International Covenant on Civil and Political Rights: Cases, Materials, and Commentary (Oxford University Press, 2013) 336 [10.19].","dontUpdate":true,"noteIndex":63},"citationItems":[{"id":1945,"uris":["http://zotero.org/users/local/OLPofQUL/items/GTZ62E8H"],"itemData":{"id":1945,"type":"book","ISBN":"0-19-964194-3","publisher":"Oxford University Press","title":"The international covenant on civil and political rights: cases, materials, and commentary","author":[{"family":"Joseph","given":"Sarah"},{"family":"Castan","given":"Melissa"}],"issued":{"date-parts":[["2013"]]}},"locator":"336 [10.19]","label":"page"}],"schema":"https://github.com/citation-style-language/schema/raw/master/csl-citation.json"} </w:instrText>
      </w:r>
      <w:r w:rsidRPr="00030932">
        <w:rPr>
          <w:rFonts w:cstheme="minorHAnsi"/>
          <w:sz w:val="16"/>
          <w:szCs w:val="16"/>
        </w:rPr>
        <w:fldChar w:fldCharType="separate"/>
      </w:r>
      <w:r w:rsidRPr="00030932">
        <w:rPr>
          <w:rFonts w:cstheme="minorHAnsi"/>
          <w:sz w:val="16"/>
          <w:szCs w:val="16"/>
        </w:rPr>
        <w:t xml:space="preserve">Sarah Joseph and Melissa Castan, </w:t>
      </w:r>
      <w:r w:rsidRPr="00030932">
        <w:rPr>
          <w:rFonts w:cstheme="minorHAnsi"/>
          <w:i/>
          <w:iCs/>
          <w:sz w:val="16"/>
          <w:szCs w:val="16"/>
        </w:rPr>
        <w:t>The International Covenant on Civil and Political Rights: Cases, Materials, and Commentary</w:t>
      </w:r>
      <w:r w:rsidRPr="00030932">
        <w:rPr>
          <w:rFonts w:cstheme="minorHAnsi"/>
          <w:sz w:val="16"/>
          <w:szCs w:val="16"/>
        </w:rPr>
        <w:t xml:space="preserve"> (Oxford University Press, 2013) 336 [10.19]</w:t>
      </w:r>
      <w:r w:rsidRPr="00030932">
        <w:rPr>
          <w:rFonts w:cstheme="minorHAnsi"/>
          <w:sz w:val="16"/>
          <w:szCs w:val="16"/>
        </w:rPr>
        <w:fldChar w:fldCharType="end"/>
      </w:r>
      <w:r w:rsidR="001C59C3" w:rsidRPr="00030932">
        <w:rPr>
          <w:rFonts w:cstheme="minorHAnsi"/>
          <w:sz w:val="16"/>
          <w:szCs w:val="16"/>
        </w:rPr>
        <w:t xml:space="preserve">; </w:t>
      </w:r>
      <w:r w:rsidR="001C59C3" w:rsidRPr="00030932">
        <w:rPr>
          <w:rFonts w:cstheme="minorHAnsi"/>
          <w:i/>
          <w:iCs/>
          <w:sz w:val="16"/>
          <w:szCs w:val="16"/>
        </w:rPr>
        <w:t>Lifestyle Communities Ltd (No 3)</w:t>
      </w:r>
      <w:r w:rsidR="001C59C3" w:rsidRPr="00030932">
        <w:rPr>
          <w:rFonts w:cstheme="minorHAnsi"/>
          <w:sz w:val="16"/>
          <w:szCs w:val="16"/>
        </w:rPr>
        <w:t xml:space="preserve"> (Anti-Discrimination) [2009] VCAT 1869 (22 September 2009) at [278–279].</w:t>
      </w:r>
    </w:p>
  </w:footnote>
  <w:footnote w:id="6">
    <w:p w14:paraId="1EDCB8CE" w14:textId="23F5D650" w:rsidR="00104869" w:rsidRPr="00030932" w:rsidRDefault="00104869">
      <w:pPr>
        <w:pStyle w:val="FootnoteText"/>
        <w:rPr>
          <w:sz w:val="16"/>
          <w:szCs w:val="16"/>
        </w:rPr>
      </w:pPr>
      <w:r w:rsidRPr="00030932">
        <w:rPr>
          <w:rStyle w:val="FootnoteReference"/>
          <w:sz w:val="16"/>
          <w:szCs w:val="16"/>
        </w:rPr>
        <w:footnoteRef/>
      </w:r>
      <w:r w:rsidRPr="00030932">
        <w:rPr>
          <w:sz w:val="16"/>
          <w:szCs w:val="16"/>
        </w:rPr>
        <w:t xml:space="preserve"> CRPD art 12(2).</w:t>
      </w:r>
    </w:p>
  </w:footnote>
  <w:footnote w:id="7">
    <w:p w14:paraId="12D7EB14" w14:textId="21F533F2" w:rsidR="00BB0186" w:rsidRPr="00030932" w:rsidRDefault="00BB0186">
      <w:pPr>
        <w:pStyle w:val="FootnoteText"/>
        <w:rPr>
          <w:sz w:val="16"/>
          <w:szCs w:val="16"/>
        </w:rPr>
      </w:pPr>
      <w:r w:rsidRPr="00030932">
        <w:rPr>
          <w:rStyle w:val="FootnoteReference"/>
          <w:sz w:val="16"/>
          <w:szCs w:val="16"/>
        </w:rPr>
        <w:footnoteRef/>
      </w:r>
      <w:r w:rsidRPr="00030932">
        <w:rPr>
          <w:sz w:val="16"/>
          <w:szCs w:val="16"/>
        </w:rPr>
        <w:t xml:space="preserve"> </w:t>
      </w:r>
      <w:r w:rsidRPr="00030932">
        <w:rPr>
          <w:sz w:val="16"/>
          <w:szCs w:val="16"/>
        </w:rPr>
        <w:fldChar w:fldCharType="begin"/>
      </w:r>
      <w:r w:rsidR="001131D7" w:rsidRPr="00030932">
        <w:rPr>
          <w:sz w:val="16"/>
          <w:szCs w:val="16"/>
        </w:rPr>
        <w:instrText xml:space="preserve"> ADDIN ZOTERO_ITEM CSL_CITATION {"citationID":"F5wgIArd","properties":{"formattedCitation":"Chris Maylea and Asher Hirsch, \\uc0\\u8216{}The Right to Refuse: The Victorian Mental Health Act 2014 and the Convention on the Rights of Persons with Disabilities\\uc0\\u8217{} (2017) 42(2) {\\i{}Alternative Law Journal} 149.","plainCitation":"Chris Maylea and Asher Hirsch, ‘The Right to Refuse: The Victorian Mental Health Act 2014 and the Convention on the Rights of Persons with Disabilities’ (2017) 42(2) Alternative Law Journal 149.","noteIndex":65},"citationItems":[{"id":114,"uris":["http://zotero.org/users/local/OLPofQUL/items/KR28Y2LJ"],"itemData":{"id":114,"type":"article-journal","container-title":"Alternative Law Journal","issue":"2","note":"ISBN: 1037-969X\npublisher: SAGE Publications Sage UK: London, England","page":"149-155","title":"The right to refuse: The Victorian mental health act 2014 and the convention on the rights of persons with disabilities","volume":"42","author":[{"family":"Maylea","given":"Chris"},{"family":"Hirsch","given":"Asher"}],"issued":{"date-parts":[["2017"]]}}}],"schema":"https://github.com/citation-style-language/schema/raw/master/csl-citation.json"} </w:instrText>
      </w:r>
      <w:r w:rsidRPr="00030932">
        <w:rPr>
          <w:sz w:val="16"/>
          <w:szCs w:val="16"/>
        </w:rPr>
        <w:fldChar w:fldCharType="separate"/>
      </w:r>
      <w:r w:rsidRPr="00030932">
        <w:rPr>
          <w:rFonts w:ascii="Calibri" w:hAnsi="Calibri" w:cs="Calibri"/>
          <w:sz w:val="16"/>
          <w:szCs w:val="16"/>
        </w:rPr>
        <w:t xml:space="preserve">Chris Maylea and Asher Hirsch, ‘The Right to Refuse: The Victorian Mental Health Act 2014 and the Convention on the Rights of Persons with Disabilities’ (2017) 42(2) </w:t>
      </w:r>
      <w:r w:rsidRPr="00030932">
        <w:rPr>
          <w:rFonts w:ascii="Calibri" w:hAnsi="Calibri" w:cs="Calibri"/>
          <w:i/>
          <w:iCs/>
          <w:sz w:val="16"/>
          <w:szCs w:val="16"/>
        </w:rPr>
        <w:t>Alternative Law Journal</w:t>
      </w:r>
      <w:r w:rsidRPr="00030932">
        <w:rPr>
          <w:rFonts w:ascii="Calibri" w:hAnsi="Calibri" w:cs="Calibri"/>
          <w:sz w:val="16"/>
          <w:szCs w:val="16"/>
        </w:rPr>
        <w:t xml:space="preserve"> 149.</w:t>
      </w:r>
      <w:r w:rsidRPr="00030932">
        <w:rPr>
          <w:sz w:val="16"/>
          <w:szCs w:val="16"/>
        </w:rPr>
        <w:fldChar w:fldCharType="end"/>
      </w:r>
    </w:p>
  </w:footnote>
  <w:footnote w:id="8">
    <w:p w14:paraId="72002F43" w14:textId="4E176CE9" w:rsidR="0054580C" w:rsidRPr="00030932" w:rsidRDefault="0054580C">
      <w:pPr>
        <w:pStyle w:val="FootnoteText"/>
        <w:rPr>
          <w:sz w:val="16"/>
          <w:szCs w:val="16"/>
        </w:rPr>
      </w:pPr>
      <w:r w:rsidRPr="00030932">
        <w:rPr>
          <w:rStyle w:val="FootnoteReference"/>
          <w:sz w:val="16"/>
          <w:szCs w:val="16"/>
        </w:rPr>
        <w:footnoteRef/>
      </w:r>
      <w:r w:rsidRPr="00030932">
        <w:rPr>
          <w:sz w:val="16"/>
          <w:szCs w:val="16"/>
        </w:rPr>
        <w:t xml:space="preserve"> Mental health is included in the definition of disability: </w:t>
      </w:r>
      <w:r w:rsidRPr="00030932">
        <w:rPr>
          <w:rFonts w:cstheme="minorHAnsi"/>
          <w:i/>
          <w:iCs/>
          <w:sz w:val="16"/>
          <w:szCs w:val="16"/>
        </w:rPr>
        <w:t xml:space="preserve">Equal Opportunity Act 2010 </w:t>
      </w:r>
      <w:r w:rsidRPr="00030932">
        <w:rPr>
          <w:rFonts w:cstheme="minorHAnsi"/>
          <w:sz w:val="16"/>
          <w:szCs w:val="16"/>
        </w:rPr>
        <w:t>(Vic) s 4(1).</w:t>
      </w:r>
    </w:p>
  </w:footnote>
  <w:footnote w:id="9">
    <w:p w14:paraId="0FB88746" w14:textId="448FB68F" w:rsidR="00091271" w:rsidRPr="00030932" w:rsidRDefault="00091271" w:rsidP="00091271">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00C234E1" w:rsidRPr="00030932">
        <w:rPr>
          <w:rFonts w:cstheme="minorHAnsi"/>
          <w:sz w:val="16"/>
          <w:szCs w:val="16"/>
        </w:rPr>
        <w:t>Charter</w:t>
      </w:r>
      <w:r w:rsidRPr="00030932">
        <w:rPr>
          <w:rFonts w:cstheme="minorHAnsi"/>
          <w:sz w:val="16"/>
          <w:szCs w:val="16"/>
        </w:rPr>
        <w:t xml:space="preserve"> s 3.</w:t>
      </w:r>
    </w:p>
  </w:footnote>
  <w:footnote w:id="10">
    <w:p w14:paraId="755EFA8B" w14:textId="4DFC3304" w:rsidR="00936C92" w:rsidRPr="00030932" w:rsidRDefault="00936C92" w:rsidP="00936C92">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The protected attributes are age, breastfeeding, employment activity, gender identity, disability, industrial activity, lawful sexual activity, marital status, parental status or carer status, physical features, political belief or activities, pregnancy, profession, trade or occupation, race, religious belief or activity, sex, sex characteristics, sexual orientation, an expunged homosexual conviction, a spent conviction, a personal association with someone with one of these protected attributes: </w:t>
      </w:r>
      <w:r w:rsidRPr="00030932">
        <w:rPr>
          <w:rFonts w:cstheme="minorHAnsi"/>
          <w:i/>
          <w:iCs/>
          <w:sz w:val="16"/>
          <w:szCs w:val="16"/>
        </w:rPr>
        <w:t xml:space="preserve">Equal Opportunity Act 2010 </w:t>
      </w:r>
      <w:r w:rsidRPr="00030932">
        <w:rPr>
          <w:rFonts w:cstheme="minorHAnsi"/>
          <w:sz w:val="16"/>
          <w:szCs w:val="16"/>
        </w:rPr>
        <w:t xml:space="preserve">(Vic) s 6. </w:t>
      </w:r>
    </w:p>
  </w:footnote>
  <w:footnote w:id="11">
    <w:p w14:paraId="30DE7E3B" w14:textId="3709CE96" w:rsidR="00091271" w:rsidRPr="00030932" w:rsidRDefault="00091271" w:rsidP="00091271">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rPr>
        <w:t xml:space="preserve">Equal Opportunity Act 2010 </w:t>
      </w:r>
      <w:r w:rsidRPr="00030932">
        <w:rPr>
          <w:rFonts w:cstheme="minorHAnsi"/>
          <w:sz w:val="16"/>
          <w:szCs w:val="16"/>
        </w:rPr>
        <w:t>(Vic) s 8(1).</w:t>
      </w:r>
    </w:p>
  </w:footnote>
  <w:footnote w:id="12">
    <w:p w14:paraId="629D6058" w14:textId="0E471CC6" w:rsidR="00091271" w:rsidRPr="00030932" w:rsidRDefault="00091271" w:rsidP="00091271">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rPr>
        <w:t xml:space="preserve">Equal Opportunity Act 2010 </w:t>
      </w:r>
      <w:r w:rsidRPr="00030932">
        <w:rPr>
          <w:rFonts w:cstheme="minorHAnsi"/>
          <w:sz w:val="16"/>
          <w:szCs w:val="16"/>
        </w:rPr>
        <w:t>(Vic) s 9(1).</w:t>
      </w:r>
    </w:p>
  </w:footnote>
  <w:footnote w:id="13">
    <w:p w14:paraId="358D7C0C" w14:textId="77DC2638" w:rsidR="00752C9E" w:rsidRPr="00030932" w:rsidRDefault="00752C9E">
      <w:pPr>
        <w:pStyle w:val="FootnoteText"/>
        <w:rPr>
          <w:sz w:val="16"/>
          <w:szCs w:val="16"/>
        </w:rPr>
      </w:pPr>
      <w:r w:rsidRPr="00030932">
        <w:rPr>
          <w:rStyle w:val="FootnoteReference"/>
          <w:sz w:val="16"/>
          <w:szCs w:val="16"/>
        </w:rPr>
        <w:footnoteRef/>
      </w:r>
      <w:r w:rsidRPr="00030932">
        <w:rPr>
          <w:sz w:val="16"/>
          <w:szCs w:val="16"/>
        </w:rPr>
        <w:t xml:space="preserve"> </w:t>
      </w:r>
      <w:r w:rsidR="00936C92" w:rsidRPr="00030932">
        <w:rPr>
          <w:sz w:val="16"/>
          <w:szCs w:val="16"/>
        </w:rPr>
        <w:t xml:space="preserve">For the more detailed steps involved, see: </w:t>
      </w:r>
      <w:r w:rsidR="00936C92" w:rsidRPr="00030932">
        <w:rPr>
          <w:rFonts w:cstheme="minorHAnsi"/>
          <w:i/>
          <w:iCs/>
          <w:sz w:val="16"/>
          <w:szCs w:val="16"/>
        </w:rPr>
        <w:t xml:space="preserve">Equal Opportunity Act 2010 </w:t>
      </w:r>
      <w:r w:rsidR="00936C92" w:rsidRPr="00030932">
        <w:rPr>
          <w:rFonts w:cstheme="minorHAnsi"/>
          <w:sz w:val="16"/>
          <w:szCs w:val="16"/>
        </w:rPr>
        <w:t>(Vic) s 9(3).</w:t>
      </w:r>
    </w:p>
  </w:footnote>
  <w:footnote w:id="14">
    <w:p w14:paraId="722C9D1E" w14:textId="0C5085E4" w:rsidR="008D6916" w:rsidRPr="00030932" w:rsidRDefault="008D6916" w:rsidP="008D6916">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E33440" w:rsidRPr="00030932">
        <w:rPr>
          <w:rFonts w:cstheme="minorHAnsi"/>
          <w:sz w:val="16"/>
          <w:szCs w:val="16"/>
        </w:rPr>
        <w:instrText xml:space="preserve"> ADDIN ZOTERO_ITEM CSL_CITATION {"citationID":"BiMA4ViZ","properties":{"formattedCitation":"State of Victoria, \\uc0\\u8216{}Royal Commission into Victoria\\uc0\\u8217{}s Mental Health System, Volume 3: Promoting Inclusion and Addressing Inequities\\uc0\\u8217{} (n 33) 532.","plainCitation":"State of Victoria, ‘Royal Commission into Victoria’s Mental Health System, Volume 3: Promoting Inclusion and Addressing Inequities’ (n 33) 532.","dontUpdate":true,"noteIndex":80},"citationItems":[{"id":545,"uris":["http://zotero.org/users/local/OLPofQUL/items/2CWX2S5X"],"itemData":{"id":545,"type":"report","number":"Parliamentary Paper no. 202, Session 2018-2021 (document 4 of 6)","publisher":"State of Victoria","title":"Royal Commission into Victoria's Mental Health System, Volume 3: Promoting inclusion and addressing inequities","URL":"https://finalreport.rcvmhs.vic.gov.au/download-report/","author":[{"family":"State of Victoria","given":""}],"issued":{"date-parts":[["2021"]]}},"locator":"532","label":"page"}],"schema":"https://github.com/citation-style-language/schema/raw/master/csl-citation.json"} </w:instrText>
      </w:r>
      <w:r w:rsidRPr="00030932">
        <w:rPr>
          <w:rFonts w:cstheme="minorHAnsi"/>
          <w:sz w:val="16"/>
          <w:szCs w:val="16"/>
        </w:rPr>
        <w:fldChar w:fldCharType="separate"/>
      </w:r>
      <w:r w:rsidRPr="00030932">
        <w:rPr>
          <w:rFonts w:cstheme="minorHAnsi"/>
          <w:sz w:val="16"/>
          <w:szCs w:val="16"/>
        </w:rPr>
        <w:t>State of Victoria, ‘Royal Commission into Victoria’s Mental Health System, Volume 3: Promoting Inclusion and Addressing Inequities’ (n 33) 532</w:t>
      </w:r>
      <w:r w:rsidRPr="00030932">
        <w:rPr>
          <w:rFonts w:cstheme="minorHAnsi"/>
          <w:sz w:val="16"/>
          <w:szCs w:val="16"/>
        </w:rPr>
        <w:fldChar w:fldCharType="end"/>
      </w:r>
      <w:r w:rsidRPr="00030932">
        <w:rPr>
          <w:rFonts w:cstheme="minorHAnsi"/>
          <w:sz w:val="16"/>
          <w:szCs w:val="16"/>
        </w:rPr>
        <w:t xml:space="preserve"> (references omitted).</w:t>
      </w:r>
    </w:p>
  </w:footnote>
  <w:footnote w:id="15">
    <w:p w14:paraId="34947871" w14:textId="1EF32726" w:rsidR="008D6916" w:rsidRPr="00030932" w:rsidRDefault="008D6916" w:rsidP="008D6916">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E33440" w:rsidRPr="00030932">
        <w:rPr>
          <w:rFonts w:cstheme="minorHAnsi"/>
          <w:sz w:val="16"/>
          <w:szCs w:val="16"/>
        </w:rPr>
        <w:instrText xml:space="preserve"> ADDIN ZOTERO_ITEM CSL_CITATION {"citationID":"Fat5K59f","properties":{"formattedCitation":"Ibid 534.","plainCitation":"Ibid 534.","dontUpdate":true,"noteIndex":81},"citationItems":[{"id":545,"uris":["http://zotero.org/users/local/OLPofQUL/items/2CWX2S5X"],"itemData":{"id":545,"type":"report","number":"Parliamentary Paper no. 202, Session 2018-2021 (document 4 of 6)","publisher":"State of Victoria","title":"Royal Commission into Victoria's Mental Health System, Volume 3: Promoting inclusion and addressing inequities","URL":"https://finalreport.rcvmhs.vic.gov.au/download-report/","author":[{"family":"State of Victoria","given":""}],"issued":{"date-parts":[["2021"]]}},"locator":"534","label":"page"}],"schema":"https://github.com/citation-style-language/schema/raw/master/csl-citation.json"} </w:instrText>
      </w:r>
      <w:r w:rsidRPr="00030932">
        <w:rPr>
          <w:rFonts w:cstheme="minorHAnsi"/>
          <w:sz w:val="16"/>
          <w:szCs w:val="16"/>
        </w:rPr>
        <w:fldChar w:fldCharType="separate"/>
      </w:r>
      <w:r w:rsidRPr="00030932">
        <w:rPr>
          <w:rFonts w:cstheme="minorHAnsi"/>
          <w:sz w:val="16"/>
          <w:szCs w:val="16"/>
        </w:rPr>
        <w:t>Ibid 534</w:t>
      </w:r>
      <w:r w:rsidRPr="00030932">
        <w:rPr>
          <w:rFonts w:cstheme="minorHAnsi"/>
          <w:sz w:val="16"/>
          <w:szCs w:val="16"/>
        </w:rPr>
        <w:fldChar w:fldCharType="end"/>
      </w:r>
      <w:r w:rsidRPr="00030932">
        <w:rPr>
          <w:rFonts w:cstheme="minorHAnsi"/>
          <w:sz w:val="16"/>
          <w:szCs w:val="16"/>
        </w:rPr>
        <w:t xml:space="preserve">  (references omitted).</w:t>
      </w:r>
    </w:p>
  </w:footnote>
  <w:footnote w:id="16">
    <w:p w14:paraId="3EDD5A4C" w14:textId="30E799EF" w:rsidR="008D6916" w:rsidRPr="00030932" w:rsidRDefault="008D6916" w:rsidP="008D6916">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E33440" w:rsidRPr="00030932">
        <w:rPr>
          <w:rFonts w:cstheme="minorHAnsi"/>
          <w:sz w:val="16"/>
          <w:szCs w:val="16"/>
        </w:rPr>
        <w:instrText xml:space="preserve"> ADDIN ZOTERO_ITEM CSL_CITATION {"citationID":"WXREfQqO","properties":{"formattedCitation":"Ibid.","plainCitation":"Ibid.","dontUpdate":true,"noteIndex":82},"citationItems":[{"id":545,"uris":["http://zotero.org/users/local/OLPofQUL/items/2CWX2S5X"],"itemData":{"id":545,"type":"report","number":"Parliamentary Paper no. 202, Session 2018-2021 (document 4 of 6)","publisher":"State of Victoria","title":"Royal Commission into Victoria's Mental Health System, Volume 3: Promoting inclusion and addressing inequities","URL":"https://finalreport.rcvmhs.vic.gov.au/download-report/","author":[{"family":"State of Victoria","given":""}],"issued":{"date-parts":[["2021"]]}},"locator":"534","label":"page"}],"schema":"https://github.com/citation-style-language/schema/raw/master/csl-citation.json"} </w:instrText>
      </w:r>
      <w:r w:rsidRPr="00030932">
        <w:rPr>
          <w:rFonts w:cstheme="minorHAnsi"/>
          <w:sz w:val="16"/>
          <w:szCs w:val="16"/>
        </w:rPr>
        <w:fldChar w:fldCharType="separate"/>
      </w:r>
      <w:r w:rsidRPr="00030932">
        <w:rPr>
          <w:rFonts w:cstheme="minorHAnsi"/>
          <w:sz w:val="16"/>
          <w:szCs w:val="16"/>
        </w:rPr>
        <w:t>Ibid</w:t>
      </w:r>
      <w:r w:rsidRPr="00030932">
        <w:rPr>
          <w:rFonts w:cstheme="minorHAnsi"/>
          <w:sz w:val="16"/>
          <w:szCs w:val="16"/>
        </w:rPr>
        <w:fldChar w:fldCharType="end"/>
      </w:r>
      <w:r w:rsidRPr="00030932">
        <w:rPr>
          <w:rFonts w:cstheme="minorHAnsi"/>
          <w:sz w:val="16"/>
          <w:szCs w:val="16"/>
        </w:rPr>
        <w:t xml:space="preserve"> (references omitted).</w:t>
      </w:r>
    </w:p>
  </w:footnote>
  <w:footnote w:id="17">
    <w:p w14:paraId="4CDDE7E1" w14:textId="77777777" w:rsidR="008D6916" w:rsidRPr="00030932" w:rsidRDefault="008D6916" w:rsidP="008D6916">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This rule does not apply where a service has been established to meet the needs of people with a particular diagnosis and the service refuses to treat people without that diagnosis. The specialist service is likely to be a special measure under which different treatment based on diagnosis is not unlawful discrimination. Refer to Charter s 8(4) and </w:t>
      </w:r>
      <w:r w:rsidRPr="00030932">
        <w:rPr>
          <w:rFonts w:cstheme="minorHAnsi"/>
          <w:i/>
          <w:iCs/>
          <w:sz w:val="16"/>
          <w:szCs w:val="16"/>
        </w:rPr>
        <w:t xml:space="preserve">Equal Opportunity Act 2010 </w:t>
      </w:r>
      <w:r w:rsidRPr="00030932">
        <w:rPr>
          <w:rFonts w:cstheme="minorHAnsi"/>
          <w:sz w:val="16"/>
          <w:szCs w:val="16"/>
        </w:rPr>
        <w:t>(Vic) s 12.</w:t>
      </w:r>
    </w:p>
  </w:footnote>
  <w:footnote w:id="18">
    <w:p w14:paraId="6DE961EB" w14:textId="79667A15" w:rsidR="00091271" w:rsidRPr="00030932" w:rsidRDefault="00091271" w:rsidP="00091271">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See for example, Explanatory Memorandum, Charter of Human Rights and Responsibilities Bill 200</w:t>
      </w:r>
      <w:r w:rsidR="00BC0941" w:rsidRPr="00030932">
        <w:rPr>
          <w:rFonts w:cstheme="minorHAnsi"/>
          <w:sz w:val="16"/>
          <w:szCs w:val="16"/>
        </w:rPr>
        <w:t>6 (Vic)</w:t>
      </w:r>
      <w:r w:rsidRPr="00030932">
        <w:rPr>
          <w:rFonts w:cstheme="minorHAnsi"/>
          <w:sz w:val="16"/>
          <w:szCs w:val="16"/>
        </w:rPr>
        <w:t xml:space="preserve"> 10.</w:t>
      </w:r>
    </w:p>
  </w:footnote>
  <w:footnote w:id="19">
    <w:p w14:paraId="2D5E69EF" w14:textId="30B1F5BB" w:rsidR="00091271" w:rsidRPr="00030932" w:rsidRDefault="00091271" w:rsidP="00091271">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rPr>
        <w:t>Matsoukatidou v Yarra Ranges Council</w:t>
      </w:r>
      <w:r w:rsidRPr="00030932">
        <w:rPr>
          <w:rFonts w:cstheme="minorHAnsi"/>
          <w:sz w:val="16"/>
          <w:szCs w:val="16"/>
        </w:rPr>
        <w:t xml:space="preserve"> (2017) 51 VR 624</w:t>
      </w:r>
      <w:r w:rsidR="00EB2ED4" w:rsidRPr="00030932">
        <w:rPr>
          <w:rFonts w:cstheme="minorHAnsi"/>
          <w:sz w:val="16"/>
          <w:szCs w:val="16"/>
        </w:rPr>
        <w:t xml:space="preserve"> </w:t>
      </w:r>
      <w:r w:rsidRPr="00030932">
        <w:rPr>
          <w:rFonts w:cstheme="minorHAnsi"/>
          <w:sz w:val="16"/>
          <w:szCs w:val="16"/>
        </w:rPr>
        <w:t xml:space="preserve">at [108] per Bell J. Refer also to </w:t>
      </w:r>
      <w:r w:rsidRPr="00030932">
        <w:rPr>
          <w:rFonts w:cstheme="minorHAnsi"/>
          <w:i/>
          <w:iCs/>
          <w:sz w:val="16"/>
          <w:szCs w:val="16"/>
        </w:rPr>
        <w:t xml:space="preserve">Victorian Police Toll Enforcement v Taha </w:t>
      </w:r>
      <w:r w:rsidRPr="00030932">
        <w:rPr>
          <w:rFonts w:cstheme="minorHAnsi"/>
          <w:sz w:val="16"/>
          <w:szCs w:val="16"/>
        </w:rPr>
        <w:t>(2013) 49 VR 1</w:t>
      </w:r>
      <w:r w:rsidR="00095948" w:rsidRPr="00030932">
        <w:rPr>
          <w:rFonts w:cstheme="minorHAnsi"/>
          <w:sz w:val="16"/>
          <w:szCs w:val="16"/>
        </w:rPr>
        <w:t xml:space="preserve"> </w:t>
      </w:r>
      <w:r w:rsidRPr="00030932">
        <w:rPr>
          <w:rFonts w:cstheme="minorHAnsi"/>
          <w:sz w:val="16"/>
          <w:szCs w:val="16"/>
        </w:rPr>
        <w:t>at [249] per Tate JA.</w:t>
      </w:r>
    </w:p>
  </w:footnote>
  <w:footnote w:id="20">
    <w:p w14:paraId="4AD84701" w14:textId="2CCB98C6" w:rsidR="005A3579" w:rsidRDefault="005A3579">
      <w:pPr>
        <w:pStyle w:val="FootnoteText"/>
      </w:pPr>
      <w:r>
        <w:rPr>
          <w:rStyle w:val="FootnoteReference"/>
        </w:rPr>
        <w:footnoteRef/>
      </w:r>
      <w:r>
        <w:t xml:space="preserve"> </w:t>
      </w:r>
      <w:r>
        <w:fldChar w:fldCharType="begin"/>
      </w:r>
      <w:r>
        <w:instrText xml:space="preserve"> ADDIN ZOTERO_ITEM CSL_CITATION {"citationID":"gWtsEvGk","properties":{"formattedCitation":"State of Victoria, \\uc0\\u8216{}Royal Commission into Victoria\\uc0\\u8217{}s Mental Health System, Volume 3: Promoting Inclusion and Addressing Inequities\\uc0\\u8217{} (n 32) 16.","plainCitation":"State of Victoria, ‘Royal Commission into Victoria’s Mental Health System, Volume 3: Promoting Inclusion and Addressing Inequities’ (n 32) 16.","noteIndex":89},"citationItems":[{"id":545,"uris":["http://zotero.org/users/local/OLPofQUL/items/2CWX2S5X"],"itemData":{"id":545,"type":"report","number":"Parliamentary Paper no. 202, Session 2018-2021 (document 4 of 6)","publisher":"State of Victoria","title":"Royal Commission into Victoria's Mental Health System, Volume 3: Promoting inclusion and addressing inequities","URL":"https://finalreport.rcvmhs.vic.gov.au/download-report/","author":[{"family":"State of Victoria","given":""}],"issued":{"date-parts":[["2021"]]}},"locator":"16","label":"page"}],"schema":"https://github.com/citation-style-language/schema/raw/master/csl-citation.json"} </w:instrText>
      </w:r>
      <w:r>
        <w:fldChar w:fldCharType="separate"/>
      </w:r>
      <w:r w:rsidRPr="005A3579">
        <w:rPr>
          <w:rFonts w:ascii="Calibri" w:hAnsi="Calibri" w:cs="Calibri"/>
          <w:szCs w:val="24"/>
        </w:rPr>
        <w:t>State of Victoria, ‘Royal Commission into Victoria’s Mental Health System, Volume 3: Promoting Inclusion and Addressing Inequities’ (n 32) 16.</w:t>
      </w:r>
      <w:r>
        <w:fldChar w:fldCharType="end"/>
      </w:r>
    </w:p>
  </w:footnote>
  <w:footnote w:id="21">
    <w:p w14:paraId="0E545755" w14:textId="77777777" w:rsidR="003D6FD9" w:rsidRPr="00030932" w:rsidRDefault="003D6FD9" w:rsidP="003D6FD9">
      <w:pPr>
        <w:pStyle w:val="FootnoteText"/>
        <w:rPr>
          <w:sz w:val="16"/>
          <w:szCs w:val="16"/>
        </w:rPr>
      </w:pPr>
      <w:r w:rsidRPr="00030932">
        <w:rPr>
          <w:rStyle w:val="FootnoteReference"/>
          <w:sz w:val="16"/>
          <w:szCs w:val="16"/>
        </w:rPr>
        <w:footnoteRef/>
      </w:r>
      <w:r w:rsidRPr="00030932">
        <w:rPr>
          <w:sz w:val="16"/>
          <w:szCs w:val="16"/>
        </w:rPr>
        <w:t xml:space="preserve"> </w:t>
      </w:r>
      <w:r w:rsidRPr="00030932">
        <w:rPr>
          <w:rStyle w:val="xcontentpasted0"/>
          <w:rFonts w:ascii="Calibri" w:hAnsi="Calibri" w:cs="Calibri"/>
          <w:color w:val="000000"/>
          <w:sz w:val="16"/>
          <w:szCs w:val="16"/>
          <w:bdr w:val="none" w:sz="0" w:space="0" w:color="auto" w:frame="1"/>
          <w:shd w:val="clear" w:color="auto" w:fill="FFFFFF"/>
        </w:rPr>
        <w:t>Simon Katterl, ‘Words That Hurt: Why Mental Health Stigma Is Often Vilification, and Requires Legal Protection’ (2022) 0(0) </w:t>
      </w:r>
      <w:r w:rsidRPr="00030932">
        <w:rPr>
          <w:rStyle w:val="xcontentpasted0"/>
          <w:rFonts w:ascii="Calibri" w:hAnsi="Calibri" w:cs="Calibri"/>
          <w:i/>
          <w:iCs/>
          <w:color w:val="000000"/>
          <w:sz w:val="16"/>
          <w:szCs w:val="16"/>
          <w:bdr w:val="none" w:sz="0" w:space="0" w:color="auto" w:frame="1"/>
          <w:shd w:val="clear" w:color="auto" w:fill="FFFFFF"/>
        </w:rPr>
        <w:t>Alternative Law Journal</w:t>
      </w:r>
      <w:r w:rsidRPr="00030932">
        <w:rPr>
          <w:rStyle w:val="xcontentpasted0"/>
          <w:rFonts w:ascii="Calibri" w:hAnsi="Calibri" w:cs="Calibri"/>
          <w:color w:val="000000"/>
          <w:sz w:val="16"/>
          <w:szCs w:val="16"/>
          <w:bdr w:val="none" w:sz="0" w:space="0" w:color="auto" w:frame="1"/>
          <w:shd w:val="clear" w:color="auto" w:fill="FFFFFF"/>
        </w:rPr>
        <w:t> 1</w:t>
      </w:r>
      <w:r w:rsidRPr="00030932">
        <w:rPr>
          <w:rFonts w:ascii="Calibri" w:hAnsi="Calibri" w:cs="Calibri"/>
          <w:color w:val="000000"/>
          <w:sz w:val="16"/>
          <w:szCs w:val="16"/>
          <w:bdr w:val="none" w:sz="0" w:space="0" w:color="auto" w:frame="1"/>
          <w:shd w:val="clear" w:color="auto" w:fill="FFFFFF"/>
        </w:rPr>
        <w:t xml:space="preserve">; </w:t>
      </w:r>
      <w:r w:rsidRPr="00030932">
        <w:rPr>
          <w:rFonts w:ascii="Calibri" w:hAnsi="Calibri" w:cs="Calibri"/>
          <w:i/>
          <w:iCs/>
          <w:color w:val="000000"/>
          <w:sz w:val="16"/>
          <w:szCs w:val="16"/>
          <w:bdr w:val="none" w:sz="0" w:space="0" w:color="auto" w:frame="1"/>
          <w:shd w:val="clear" w:color="auto" w:fill="FFFFFF"/>
        </w:rPr>
        <w:t xml:space="preserve">Racial and Religious Tolerance Act 2001 </w:t>
      </w:r>
      <w:r w:rsidRPr="00030932">
        <w:rPr>
          <w:rFonts w:ascii="Calibri" w:hAnsi="Calibri" w:cs="Calibri"/>
          <w:color w:val="000000"/>
          <w:sz w:val="16"/>
          <w:szCs w:val="16"/>
          <w:bdr w:val="none" w:sz="0" w:space="0" w:color="auto" w:frame="1"/>
          <w:shd w:val="clear" w:color="auto" w:fill="FFFFFF"/>
        </w:rPr>
        <w:t>(Vic).</w:t>
      </w:r>
    </w:p>
  </w:footnote>
  <w:footnote w:id="22">
    <w:p w14:paraId="54A70A61" w14:textId="77777777" w:rsidR="003D6FD9" w:rsidRPr="00030932" w:rsidRDefault="003D6FD9" w:rsidP="003D6FD9">
      <w:pPr>
        <w:pStyle w:val="FootnoteText"/>
        <w:rPr>
          <w:sz w:val="16"/>
          <w:szCs w:val="16"/>
        </w:rPr>
      </w:pPr>
      <w:r w:rsidRPr="00030932">
        <w:rPr>
          <w:rStyle w:val="FootnoteReference"/>
          <w:sz w:val="16"/>
          <w:szCs w:val="16"/>
        </w:rPr>
        <w:footnoteRef/>
      </w:r>
      <w:r w:rsidRPr="00030932">
        <w:rPr>
          <w:sz w:val="16"/>
          <w:szCs w:val="16"/>
        </w:rPr>
        <w:t xml:space="preserve"> </w:t>
      </w:r>
      <w:r w:rsidRPr="00030932">
        <w:rPr>
          <w:i/>
          <w:iCs/>
          <w:sz w:val="16"/>
          <w:szCs w:val="16"/>
        </w:rPr>
        <w:t xml:space="preserve">Anti-Discrimination Act 1998 </w:t>
      </w:r>
      <w:r w:rsidRPr="00030932">
        <w:rPr>
          <w:sz w:val="16"/>
          <w:szCs w:val="16"/>
        </w:rPr>
        <w:t>(Tas) s 19.</w:t>
      </w:r>
    </w:p>
  </w:footnote>
  <w:footnote w:id="23">
    <w:p w14:paraId="2746156A" w14:textId="77777777" w:rsidR="003D6FD9" w:rsidRPr="00030932" w:rsidRDefault="003D6FD9" w:rsidP="003D6FD9">
      <w:pPr>
        <w:pStyle w:val="FootnoteText"/>
        <w:rPr>
          <w:sz w:val="16"/>
          <w:szCs w:val="16"/>
        </w:rPr>
      </w:pPr>
      <w:r w:rsidRPr="00030932">
        <w:rPr>
          <w:rStyle w:val="FootnoteReference"/>
          <w:sz w:val="16"/>
          <w:szCs w:val="16"/>
        </w:rPr>
        <w:footnoteRef/>
      </w:r>
      <w:r w:rsidRPr="00030932">
        <w:rPr>
          <w:sz w:val="16"/>
          <w:szCs w:val="16"/>
        </w:rPr>
        <w:t xml:space="preserve"> Department of Justice and Community Safety, ‘Victorian Government response to Anti-Vilification Protections’, &lt;https://www.vic.gov.au/response-inquiry-anti-vilification-protections&gt;.</w:t>
      </w:r>
    </w:p>
  </w:footnote>
  <w:footnote w:id="24">
    <w:p w14:paraId="38B5B495" w14:textId="77777777" w:rsidR="002D0F71" w:rsidRPr="00030932" w:rsidRDefault="002D0F71" w:rsidP="002D0F71">
      <w:pPr>
        <w:pStyle w:val="FootnoteText"/>
        <w:rPr>
          <w:rFonts w:cstheme="minorHAnsi"/>
          <w:color w:val="FFFFFF" w:themeColor="background1"/>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rPr>
        <w:t xml:space="preserve">Equal Opportunity Act 2010 </w:t>
      </w:r>
      <w:r w:rsidRPr="00030932">
        <w:rPr>
          <w:rFonts w:cstheme="minorHAnsi"/>
          <w:sz w:val="16"/>
          <w:szCs w:val="16"/>
        </w:rPr>
        <w:t>(Vic) s 12.</w:t>
      </w:r>
    </w:p>
  </w:footnote>
  <w:footnote w:id="25">
    <w:p w14:paraId="2643196D" w14:textId="344CF1BE" w:rsidR="00F64270" w:rsidRPr="00D0441B" w:rsidRDefault="00F64270">
      <w:pPr>
        <w:pStyle w:val="FootnoteText"/>
        <w:rPr>
          <w:color w:val="FFFFFF" w:themeColor="background1"/>
          <w:sz w:val="16"/>
          <w:szCs w:val="16"/>
        </w:rPr>
      </w:pPr>
      <w:r w:rsidRPr="00D0441B">
        <w:rPr>
          <w:rStyle w:val="FootnoteReference"/>
          <w:color w:val="FFFFFF" w:themeColor="background1"/>
          <w:sz w:val="16"/>
          <w:szCs w:val="16"/>
        </w:rPr>
        <w:footnoteRef/>
      </w:r>
      <w:r w:rsidRPr="00D0441B">
        <w:rPr>
          <w:color w:val="FFFFFF" w:themeColor="background1"/>
          <w:sz w:val="16"/>
          <w:szCs w:val="16"/>
        </w:rPr>
        <w:t xml:space="preserve"> </w:t>
      </w:r>
      <w:r w:rsidRPr="00D0441B">
        <w:rPr>
          <w:i/>
          <w:iCs/>
          <w:color w:val="FFFFFF" w:themeColor="background1"/>
          <w:sz w:val="16"/>
          <w:szCs w:val="16"/>
        </w:rPr>
        <w:t xml:space="preserve">Equal Opportunity Act 2010 </w:t>
      </w:r>
      <w:r w:rsidRPr="00D0441B">
        <w:rPr>
          <w:color w:val="FFFFFF" w:themeColor="background1"/>
          <w:sz w:val="16"/>
          <w:szCs w:val="16"/>
        </w:rPr>
        <w:t>(Vic) s 4.</w:t>
      </w:r>
    </w:p>
  </w:footnote>
  <w:footnote w:id="26">
    <w:p w14:paraId="293A0FA2" w14:textId="756A313E" w:rsidR="001C0D56" w:rsidRPr="00D0441B" w:rsidRDefault="001C0D56">
      <w:pPr>
        <w:pStyle w:val="FootnoteText"/>
        <w:rPr>
          <w:color w:val="FFFFFF" w:themeColor="background1"/>
          <w:sz w:val="16"/>
          <w:szCs w:val="16"/>
        </w:rPr>
      </w:pPr>
      <w:r w:rsidRPr="00D0441B">
        <w:rPr>
          <w:rStyle w:val="FootnoteReference"/>
          <w:color w:val="FFFFFF" w:themeColor="background1"/>
          <w:sz w:val="16"/>
          <w:szCs w:val="16"/>
        </w:rPr>
        <w:footnoteRef/>
      </w:r>
      <w:r w:rsidRPr="00D0441B">
        <w:rPr>
          <w:color w:val="FFFFFF" w:themeColor="background1"/>
          <w:sz w:val="16"/>
          <w:szCs w:val="16"/>
        </w:rPr>
        <w:t xml:space="preserve"> </w:t>
      </w:r>
      <w:r w:rsidRPr="00D0441B">
        <w:rPr>
          <w:color w:val="FFFFFF" w:themeColor="background1"/>
          <w:sz w:val="16"/>
          <w:szCs w:val="16"/>
        </w:rPr>
        <w:fldChar w:fldCharType="begin"/>
      </w:r>
      <w:r w:rsidR="00E33440" w:rsidRPr="00D0441B">
        <w:rPr>
          <w:color w:val="FFFFFF" w:themeColor="background1"/>
          <w:sz w:val="16"/>
          <w:szCs w:val="16"/>
        </w:rPr>
        <w:instrText xml:space="preserve"> ADDIN ZOTERO_ITEM CSL_CITATION {"citationID":"KlnQ5HgE","properties":{"formattedCitation":"American Psychiatric Association, {\\i{}Diagnostic and Statistical Manual of Mental Disorders} (American Psychiatric Association, 5\\super t\\nosupersub{}\\super h\\nosupersub{}-TR ed, 2022) 545\\uc0\\u8211{}560.","plainCitation":"American Psychiatric Association, Diagnostic and Statistical Manual of Mental Disorders (American Psychiatric Association, 5th-TR ed, 2022) 545–560.","noteIndex":95},"citationItems":[{"id":2114,"uris":["http://zotero.org/users/local/OLPofQUL/items/VJ8ZBKEY"],"itemData":{"id":2114,"type":"book","edition":"5-TR","event-place":"Washington, DC","publisher":"American Psychiatric Association","publisher-place":"Washington, DC","title":"Diagnostic and statistical manual of mental disorders","author":[{"family":"American Psychiatric Association","given":""}],"issued":{"date-parts":[["2022"]]}},"locator":"545-560","label":"page"}],"schema":"https://github.com/citation-style-language/schema/raw/master/csl-citation.json"} </w:instrText>
      </w:r>
      <w:r w:rsidRPr="00D0441B">
        <w:rPr>
          <w:color w:val="FFFFFF" w:themeColor="background1"/>
          <w:sz w:val="16"/>
          <w:szCs w:val="16"/>
        </w:rPr>
        <w:fldChar w:fldCharType="separate"/>
      </w:r>
      <w:r w:rsidRPr="00D0441B">
        <w:rPr>
          <w:rFonts w:ascii="Calibri" w:hAnsi="Calibri" w:cs="Calibri"/>
          <w:color w:val="FFFFFF" w:themeColor="background1"/>
          <w:sz w:val="16"/>
          <w:szCs w:val="16"/>
        </w:rPr>
        <w:t xml:space="preserve">American Psychiatric Association, </w:t>
      </w:r>
      <w:r w:rsidRPr="00D0441B">
        <w:rPr>
          <w:rFonts w:ascii="Calibri" w:hAnsi="Calibri" w:cs="Calibri"/>
          <w:i/>
          <w:iCs/>
          <w:color w:val="FFFFFF" w:themeColor="background1"/>
          <w:sz w:val="16"/>
          <w:szCs w:val="16"/>
        </w:rPr>
        <w:t>Diagnostic and Statistical Manual of Mental Disorders</w:t>
      </w:r>
      <w:r w:rsidRPr="00D0441B">
        <w:rPr>
          <w:rFonts w:ascii="Calibri" w:hAnsi="Calibri" w:cs="Calibri"/>
          <w:color w:val="FFFFFF" w:themeColor="background1"/>
          <w:sz w:val="16"/>
          <w:szCs w:val="16"/>
        </w:rPr>
        <w:t xml:space="preserve"> (American Psychiatric Association, 5</w:t>
      </w:r>
      <w:r w:rsidRPr="00D0441B">
        <w:rPr>
          <w:rFonts w:ascii="Calibri" w:hAnsi="Calibri" w:cs="Calibri"/>
          <w:color w:val="FFFFFF" w:themeColor="background1"/>
          <w:sz w:val="16"/>
          <w:szCs w:val="16"/>
          <w:vertAlign w:val="superscript"/>
        </w:rPr>
        <w:t>th</w:t>
      </w:r>
      <w:r w:rsidRPr="00D0441B">
        <w:rPr>
          <w:rFonts w:ascii="Calibri" w:hAnsi="Calibri" w:cs="Calibri"/>
          <w:color w:val="FFFFFF" w:themeColor="background1"/>
          <w:sz w:val="16"/>
          <w:szCs w:val="16"/>
        </w:rPr>
        <w:t>-TR ed, 2022) 545–560.</w:t>
      </w:r>
      <w:r w:rsidRPr="00D0441B">
        <w:rPr>
          <w:color w:val="FFFFFF" w:themeColor="background1"/>
          <w:sz w:val="16"/>
          <w:szCs w:val="16"/>
        </w:rPr>
        <w:fldChar w:fldCharType="end"/>
      </w:r>
    </w:p>
  </w:footnote>
  <w:footnote w:id="27">
    <w:p w14:paraId="61BFAD9D" w14:textId="3FF75361" w:rsidR="00730836" w:rsidRPr="00030932" w:rsidRDefault="00730836">
      <w:pPr>
        <w:pStyle w:val="FootnoteText"/>
        <w:rPr>
          <w:sz w:val="16"/>
          <w:szCs w:val="16"/>
        </w:rPr>
      </w:pPr>
      <w:r w:rsidRPr="00D0441B">
        <w:rPr>
          <w:rStyle w:val="FootnoteReference"/>
          <w:color w:val="FFFFFF" w:themeColor="background1"/>
          <w:sz w:val="16"/>
          <w:szCs w:val="16"/>
        </w:rPr>
        <w:footnoteRef/>
      </w:r>
      <w:r w:rsidRPr="00D0441B">
        <w:rPr>
          <w:color w:val="FFFFFF" w:themeColor="background1"/>
          <w:sz w:val="16"/>
          <w:szCs w:val="16"/>
        </w:rPr>
        <w:t xml:space="preserve"> These</w:t>
      </w:r>
      <w:r w:rsidR="00054A97" w:rsidRPr="00D0441B">
        <w:rPr>
          <w:color w:val="FFFFFF" w:themeColor="background1"/>
          <w:sz w:val="16"/>
          <w:szCs w:val="16"/>
        </w:rPr>
        <w:t xml:space="preserve"> are a collection of</w:t>
      </w:r>
      <w:r w:rsidR="00A01680" w:rsidRPr="00D0441B">
        <w:rPr>
          <w:color w:val="FFFFFF" w:themeColor="background1"/>
          <w:sz w:val="16"/>
          <w:szCs w:val="16"/>
        </w:rPr>
        <w:t xml:space="preserve"> common</w:t>
      </w:r>
      <w:r w:rsidR="00054A97" w:rsidRPr="00D0441B">
        <w:rPr>
          <w:color w:val="FFFFFF" w:themeColor="background1"/>
          <w:sz w:val="16"/>
          <w:szCs w:val="16"/>
        </w:rPr>
        <w:t xml:space="preserve"> problems, but n</w:t>
      </w:r>
      <w:r w:rsidR="00A01680" w:rsidRPr="00D0441B">
        <w:rPr>
          <w:color w:val="FFFFFF" w:themeColor="background1"/>
          <w:sz w:val="16"/>
          <w:szCs w:val="16"/>
        </w:rPr>
        <w:t>o</w:t>
      </w:r>
      <w:r w:rsidR="00054A97" w:rsidRPr="00D0441B">
        <w:rPr>
          <w:color w:val="FFFFFF" w:themeColor="background1"/>
          <w:sz w:val="16"/>
          <w:szCs w:val="16"/>
        </w:rPr>
        <w:t xml:space="preserve">t exhaustive: </w:t>
      </w:r>
      <w:r w:rsidR="007D212B" w:rsidRPr="00D0441B">
        <w:rPr>
          <w:color w:val="FFFFFF" w:themeColor="background1"/>
          <w:sz w:val="16"/>
          <w:szCs w:val="16"/>
        </w:rPr>
        <w:fldChar w:fldCharType="begin"/>
      </w:r>
      <w:r w:rsidR="00E33440" w:rsidRPr="00D0441B">
        <w:rPr>
          <w:color w:val="FFFFFF" w:themeColor="background1"/>
          <w:sz w:val="16"/>
          <w:szCs w:val="16"/>
        </w:rPr>
        <w:instrText xml:space="preserve"> ADDIN ZOTERO_ITEM CSL_CITATION {"citationID":"NC0e7yBi","properties":{"formattedCitation":"Interview with Clare Davies, \\uc0\\u8216{}Interview with SHARC CEO Clare Davies\\uc0\\u8217{} (Telephone, 23 March 2023).","plainCitation":"Interview with Clare Davies, ‘Interview with SHARC CEO Clare Davies’ (Telephone, 23 March 2023).","noteIndex":96},"citationItems":[{"id":2115,"uris":["http://zotero.org/users/local/OLPofQUL/items/DP248P4C"],"itemData":{"id":2115,"type":"interview","medium":"Telephone","title":"Interview with SHARC CEO Clare Davies","author":[{"family":"Davies","given":"Clare"}],"issued":{"date-parts":[["2023",3,23]]}}}],"schema":"https://github.com/citation-style-language/schema/raw/master/csl-citation.json"} </w:instrText>
      </w:r>
      <w:r w:rsidR="007D212B" w:rsidRPr="00D0441B">
        <w:rPr>
          <w:color w:val="FFFFFF" w:themeColor="background1"/>
          <w:sz w:val="16"/>
          <w:szCs w:val="16"/>
        </w:rPr>
        <w:fldChar w:fldCharType="separate"/>
      </w:r>
      <w:r w:rsidR="007D212B" w:rsidRPr="00D0441B">
        <w:rPr>
          <w:rFonts w:ascii="Calibri" w:hAnsi="Calibri" w:cs="Calibri"/>
          <w:color w:val="FFFFFF" w:themeColor="background1"/>
          <w:sz w:val="16"/>
          <w:szCs w:val="16"/>
        </w:rPr>
        <w:t>Interview with Clare Davies, ‘Interview with SHARC CEO Clare Davies’ (Telephone, 23 March 2023).</w:t>
      </w:r>
      <w:r w:rsidR="007D212B" w:rsidRPr="00D0441B">
        <w:rPr>
          <w:color w:val="FFFFFF" w:themeColor="background1"/>
          <w:sz w:val="16"/>
          <w:szCs w:val="16"/>
        </w:rPr>
        <w:fldChar w:fldCharType="end"/>
      </w:r>
    </w:p>
  </w:footnote>
  <w:footnote w:id="28">
    <w:p w14:paraId="37632B05" w14:textId="3819C56E" w:rsidR="00091271" w:rsidRPr="00030932" w:rsidRDefault="00091271" w:rsidP="00091271">
      <w:pPr>
        <w:pStyle w:val="FootnoteText"/>
        <w:rPr>
          <w:rFonts w:cstheme="minorHAnsi"/>
          <w:sz w:val="16"/>
          <w:szCs w:val="16"/>
          <w:lang w:val="en-US"/>
        </w:rPr>
      </w:pPr>
      <w:r w:rsidRPr="00030932">
        <w:rPr>
          <w:rStyle w:val="FootnoteReference"/>
          <w:sz w:val="16"/>
          <w:szCs w:val="16"/>
        </w:rPr>
        <w:footnoteRef/>
      </w:r>
      <w:r w:rsidR="00830E16" w:rsidRPr="00030932">
        <w:rPr>
          <w:rFonts w:cstheme="minorHAnsi"/>
          <w:sz w:val="16"/>
          <w:szCs w:val="16"/>
        </w:rPr>
        <w:t xml:space="preserve"> </w:t>
      </w:r>
      <w:r w:rsidR="00830E16" w:rsidRPr="00030932">
        <w:rPr>
          <w:rFonts w:cstheme="minorHAnsi"/>
          <w:sz w:val="16"/>
          <w:szCs w:val="16"/>
        </w:rPr>
        <w:fldChar w:fldCharType="begin"/>
      </w:r>
      <w:r w:rsidR="005A3579">
        <w:rPr>
          <w:rFonts w:cstheme="minorHAnsi"/>
          <w:sz w:val="16"/>
          <w:szCs w:val="16"/>
        </w:rPr>
        <w:instrText xml:space="preserve"> ADDIN ZOTERO_ITEM CSL_CITATION {"citationID":"WbSMG0r7","properties":{"formattedCitation":"Human Rights Committee, {\\i{}General Comment No 36: Article 6 (Right to Life)} (124th sess, UN Doc CCPR/C/GC/36, (3 September 2019)).","plainCitation":"Human Rights Committee, General Comment No 36: Article 6 (Right to Life) (124th sess, UN Doc CCPR/C/GC/36, (3 September 2019)).","dontUpdate":true,"noteIndex":99},"citationItems":[{"id":2042,"uris":["http://zotero.org/users/local/OLPofQUL/items/XWN96L98"],"itemData":{"id":2042,"type":"book","publisher":"124th sess, UN Doc CCPR/C/GC/36, (3 September 2019)","title":"General Comment No 36: Article 6 (Right to life)","author":[{"family":"Human Rights Committee","given":""}]}}],"schema":"https://github.com/citation-style-language/schema/raw/master/csl-citation.json"} </w:instrText>
      </w:r>
      <w:r w:rsidR="00830E16" w:rsidRPr="00030932">
        <w:rPr>
          <w:rFonts w:cstheme="minorHAnsi"/>
          <w:sz w:val="16"/>
          <w:szCs w:val="16"/>
        </w:rPr>
        <w:fldChar w:fldCharType="separate"/>
      </w:r>
      <w:r w:rsidR="00830E16" w:rsidRPr="00030932">
        <w:rPr>
          <w:rFonts w:cstheme="minorHAnsi"/>
          <w:sz w:val="16"/>
          <w:szCs w:val="16"/>
        </w:rPr>
        <w:t xml:space="preserve">Human Rights Committee, </w:t>
      </w:r>
      <w:r w:rsidR="00830E16" w:rsidRPr="00030932">
        <w:rPr>
          <w:rFonts w:cstheme="minorHAnsi"/>
          <w:i/>
          <w:sz w:val="16"/>
          <w:szCs w:val="16"/>
        </w:rPr>
        <w:t>General Comment No 36: Article 6 (Right to Life)</w:t>
      </w:r>
      <w:r w:rsidR="00DC2565" w:rsidRPr="00030932">
        <w:rPr>
          <w:rFonts w:cstheme="minorHAnsi"/>
          <w:sz w:val="16"/>
          <w:szCs w:val="16"/>
        </w:rPr>
        <w:t>,</w:t>
      </w:r>
      <w:r w:rsidR="00830E16" w:rsidRPr="00030932">
        <w:rPr>
          <w:rFonts w:cstheme="minorHAnsi"/>
          <w:sz w:val="16"/>
          <w:szCs w:val="16"/>
        </w:rPr>
        <w:t xml:space="preserve"> 124th sess, UN Doc CCPR/C/GC/36, (3 September 2019)</w:t>
      </w:r>
      <w:r w:rsidR="004530BE" w:rsidRPr="00030932">
        <w:rPr>
          <w:rFonts w:cstheme="minorHAnsi"/>
          <w:sz w:val="16"/>
          <w:szCs w:val="16"/>
        </w:rPr>
        <w:t xml:space="preserve"> [2]</w:t>
      </w:r>
      <w:r w:rsidR="00830E16" w:rsidRPr="00030932">
        <w:rPr>
          <w:rFonts w:cstheme="minorHAnsi"/>
          <w:sz w:val="16"/>
          <w:szCs w:val="16"/>
        </w:rPr>
        <w:t>.</w:t>
      </w:r>
      <w:r w:rsidR="00830E16" w:rsidRPr="00030932">
        <w:rPr>
          <w:rFonts w:cstheme="minorHAnsi"/>
          <w:sz w:val="16"/>
          <w:szCs w:val="16"/>
        </w:rPr>
        <w:fldChar w:fldCharType="end"/>
      </w:r>
    </w:p>
  </w:footnote>
  <w:footnote w:id="29">
    <w:p w14:paraId="658BEF89" w14:textId="39690ABD" w:rsidR="00091271" w:rsidRPr="00030932" w:rsidRDefault="00091271" w:rsidP="00091271">
      <w:pPr>
        <w:pStyle w:val="FootnoteText"/>
        <w:rPr>
          <w:rFonts w:cstheme="minorHAnsi"/>
          <w:sz w:val="16"/>
          <w:szCs w:val="16"/>
        </w:rPr>
      </w:pPr>
      <w:r w:rsidRPr="00030932">
        <w:rPr>
          <w:rStyle w:val="FootnoteReference"/>
          <w:sz w:val="16"/>
          <w:szCs w:val="16"/>
        </w:rPr>
        <w:footnoteRef/>
      </w:r>
      <w:r w:rsidR="00E00354" w:rsidRPr="00030932">
        <w:rPr>
          <w:rFonts w:cstheme="minorHAnsi"/>
          <w:sz w:val="16"/>
          <w:szCs w:val="16"/>
        </w:rPr>
        <w:t xml:space="preserve"> </w:t>
      </w:r>
      <w:r w:rsidR="004530BE" w:rsidRPr="00030932">
        <w:rPr>
          <w:rFonts w:cstheme="minorHAnsi"/>
          <w:sz w:val="16"/>
          <w:szCs w:val="16"/>
        </w:rPr>
        <w:fldChar w:fldCharType="begin"/>
      </w:r>
      <w:r w:rsidR="005A3579">
        <w:rPr>
          <w:rFonts w:cstheme="minorHAnsi"/>
          <w:sz w:val="16"/>
          <w:szCs w:val="16"/>
        </w:rPr>
        <w:instrText xml:space="preserve"> ADDIN ZOTERO_ITEM CSL_CITATION {"citationID":"pkUIVPVR","properties":{"formattedCitation":"Ibid.","plainCitation":"Ibid.","dontUpdate":true,"noteIndex":100},"citationItems":[{"id":2042,"uris":["http://zotero.org/users/local/OLPofQUL/items/XWN96L98"],"itemData":{"id":2042,"type":"book","publisher":"124th sess, UN Doc CCPR/C/GC/36, (3 September 2019)","title":"General Comment No 36: Article 6 (Right to life)","author":[{"family":"Human Rights Committee","given":""}]}}],"schema":"https://github.com/citation-style-language/schema/raw/master/csl-citation.json"} </w:instrText>
      </w:r>
      <w:r w:rsidR="004530BE" w:rsidRPr="00030932">
        <w:rPr>
          <w:rFonts w:cstheme="minorHAnsi"/>
          <w:sz w:val="16"/>
          <w:szCs w:val="16"/>
        </w:rPr>
        <w:fldChar w:fldCharType="separate"/>
      </w:r>
      <w:r w:rsidR="004530BE" w:rsidRPr="00030932">
        <w:rPr>
          <w:rFonts w:cstheme="minorHAnsi"/>
          <w:sz w:val="16"/>
          <w:szCs w:val="16"/>
        </w:rPr>
        <w:t>Ibid</w:t>
      </w:r>
      <w:r w:rsidR="00E00354" w:rsidRPr="00030932">
        <w:rPr>
          <w:rFonts w:cstheme="minorHAnsi"/>
          <w:sz w:val="16"/>
          <w:szCs w:val="16"/>
        </w:rPr>
        <w:t xml:space="preserve"> [12]</w:t>
      </w:r>
      <w:r w:rsidR="004530BE" w:rsidRPr="00030932">
        <w:rPr>
          <w:rFonts w:cstheme="minorHAnsi"/>
          <w:sz w:val="16"/>
          <w:szCs w:val="16"/>
        </w:rPr>
        <w:t>.</w:t>
      </w:r>
      <w:r w:rsidR="004530BE" w:rsidRPr="00030932">
        <w:rPr>
          <w:rFonts w:cstheme="minorHAnsi"/>
          <w:sz w:val="16"/>
          <w:szCs w:val="16"/>
        </w:rPr>
        <w:fldChar w:fldCharType="end"/>
      </w:r>
    </w:p>
  </w:footnote>
  <w:footnote w:id="30">
    <w:p w14:paraId="652C3596" w14:textId="32649D1B" w:rsidR="00980BC7" w:rsidRPr="00030932" w:rsidRDefault="00980BC7">
      <w:pPr>
        <w:pStyle w:val="FootnoteText"/>
        <w:rPr>
          <w:sz w:val="16"/>
          <w:szCs w:val="16"/>
        </w:rPr>
      </w:pPr>
      <w:r w:rsidRPr="00030932">
        <w:rPr>
          <w:rStyle w:val="FootnoteReference"/>
          <w:sz w:val="16"/>
          <w:szCs w:val="16"/>
        </w:rPr>
        <w:footnoteRef/>
      </w:r>
      <w:r w:rsidRPr="00030932">
        <w:rPr>
          <w:sz w:val="16"/>
          <w:szCs w:val="16"/>
        </w:rPr>
        <w:t xml:space="preserve"> </w:t>
      </w:r>
      <w:r w:rsidRPr="00030932">
        <w:rPr>
          <w:rFonts w:cstheme="minorHAnsi"/>
          <w:i/>
          <w:iCs/>
          <w:sz w:val="16"/>
          <w:szCs w:val="16"/>
          <w:shd w:val="clear" w:color="auto" w:fill="FFFFFF"/>
        </w:rPr>
        <w:t>Veness &amp; Medical Board of Australia (Occupational Discipline)</w:t>
      </w:r>
      <w:r w:rsidRPr="00030932">
        <w:rPr>
          <w:rFonts w:cstheme="minorHAnsi"/>
          <w:sz w:val="16"/>
          <w:szCs w:val="16"/>
          <w:shd w:val="clear" w:color="auto" w:fill="FFFFFF"/>
        </w:rPr>
        <w:t> [2011] ACAT 55 at [35]</w:t>
      </w:r>
      <w:r w:rsidR="004F6B36" w:rsidRPr="00030932">
        <w:rPr>
          <w:rFonts w:cstheme="minorHAnsi"/>
          <w:sz w:val="16"/>
          <w:szCs w:val="16"/>
          <w:shd w:val="clear" w:color="auto" w:fill="FFFFFF"/>
        </w:rPr>
        <w:t xml:space="preserve"> interpreted the equivalent duty in the ACT to mean taking “appropriate steps”. Also, section 7(1)(g) of the </w:t>
      </w:r>
      <w:r w:rsidR="004F6B36" w:rsidRPr="00030932">
        <w:rPr>
          <w:rFonts w:cstheme="minorHAnsi"/>
          <w:i/>
          <w:iCs/>
          <w:sz w:val="16"/>
          <w:szCs w:val="16"/>
        </w:rPr>
        <w:t xml:space="preserve">Public Administration Act 2004 </w:t>
      </w:r>
      <w:r w:rsidR="004F6B36" w:rsidRPr="00030932">
        <w:rPr>
          <w:rFonts w:cstheme="minorHAnsi"/>
          <w:sz w:val="16"/>
          <w:szCs w:val="16"/>
        </w:rPr>
        <w:t>(Vic) requires public servants to promote Charter rights by ‘actively implementing, promoting and supporting’ them.</w:t>
      </w:r>
    </w:p>
  </w:footnote>
  <w:footnote w:id="31">
    <w:p w14:paraId="06AA7A65" w14:textId="6D3113E7" w:rsidR="004F6B36" w:rsidRPr="00030932" w:rsidRDefault="004F6B36">
      <w:pPr>
        <w:pStyle w:val="FootnoteText"/>
        <w:rPr>
          <w:sz w:val="16"/>
          <w:szCs w:val="16"/>
        </w:rPr>
      </w:pPr>
      <w:r w:rsidRPr="00030932">
        <w:rPr>
          <w:rStyle w:val="FootnoteReference"/>
          <w:sz w:val="16"/>
          <w:szCs w:val="16"/>
        </w:rPr>
        <w:footnoteRef/>
      </w:r>
      <w:r w:rsidRPr="00030932">
        <w:rPr>
          <w:sz w:val="16"/>
          <w:szCs w:val="16"/>
        </w:rPr>
        <w:t xml:space="preserve"> For a case example in the UK, see </w:t>
      </w:r>
      <w:r w:rsidRPr="00030932">
        <w:rPr>
          <w:rFonts w:cstheme="minorHAnsi"/>
          <w:i/>
          <w:iCs/>
          <w:sz w:val="16"/>
          <w:szCs w:val="16"/>
        </w:rPr>
        <w:t xml:space="preserve">Savage v South Essex Partnership NHS Foundation Trust </w:t>
      </w:r>
      <w:r w:rsidRPr="00030932">
        <w:rPr>
          <w:rFonts w:cstheme="minorHAnsi"/>
          <w:sz w:val="16"/>
          <w:szCs w:val="16"/>
        </w:rPr>
        <w:t>[2008] UKHL 74 (10 December 2008) [68] per Lord Rodger.</w:t>
      </w:r>
    </w:p>
  </w:footnote>
  <w:footnote w:id="32">
    <w:p w14:paraId="68CA068F" w14:textId="0C512CA9" w:rsidR="004F6B36" w:rsidRPr="00030932" w:rsidRDefault="004F6B36">
      <w:pPr>
        <w:pStyle w:val="FootnoteText"/>
        <w:rPr>
          <w:sz w:val="16"/>
          <w:szCs w:val="16"/>
        </w:rPr>
      </w:pPr>
      <w:r w:rsidRPr="00030932">
        <w:rPr>
          <w:rStyle w:val="FootnoteReference"/>
          <w:sz w:val="16"/>
          <w:szCs w:val="16"/>
        </w:rPr>
        <w:footnoteRef/>
      </w:r>
      <w:r w:rsidRPr="00030932">
        <w:rPr>
          <w:sz w:val="16"/>
          <w:szCs w:val="16"/>
        </w:rPr>
        <w:t xml:space="preserve"> This was reflected in the explanatory memorandum for the Charter when introduced: </w:t>
      </w:r>
      <w:r w:rsidRPr="00030932">
        <w:rPr>
          <w:rFonts w:cstheme="minorHAnsi"/>
          <w:sz w:val="16"/>
          <w:szCs w:val="16"/>
        </w:rPr>
        <w:t>Explanatory Memorandum,</w:t>
      </w:r>
      <w:r w:rsidRPr="00030932">
        <w:rPr>
          <w:rFonts w:cstheme="minorHAnsi"/>
          <w:i/>
          <w:iCs/>
          <w:sz w:val="16"/>
          <w:szCs w:val="16"/>
        </w:rPr>
        <w:t xml:space="preserve"> </w:t>
      </w:r>
      <w:r w:rsidRPr="00030932">
        <w:rPr>
          <w:rFonts w:cstheme="minorHAnsi"/>
          <w:sz w:val="16"/>
          <w:szCs w:val="16"/>
        </w:rPr>
        <w:t xml:space="preserve">Charter of Human Rights and Responsibilities Bill 2006 (Vic) 10. This was re-affirmed by the Victorian Coroners Court during one of its reports: </w:t>
      </w:r>
      <w:r w:rsidRPr="00030932">
        <w:rPr>
          <w:rFonts w:cstheme="minorHAnsi"/>
          <w:i/>
          <w:iCs/>
          <w:sz w:val="16"/>
          <w:szCs w:val="16"/>
        </w:rPr>
        <w:t>Coronial Investigation of 29 Level Crossing Deaths – Ruling on the Interpretation of Clause 7(2) of Schedule 1 of the</w:t>
      </w:r>
      <w:r w:rsidRPr="00030932">
        <w:rPr>
          <w:rFonts w:cstheme="minorHAnsi"/>
          <w:sz w:val="16"/>
          <w:szCs w:val="16"/>
        </w:rPr>
        <w:t xml:space="preserve"> </w:t>
      </w:r>
      <w:r w:rsidRPr="00030932">
        <w:rPr>
          <w:rFonts w:cstheme="minorHAnsi"/>
          <w:i/>
          <w:iCs/>
          <w:sz w:val="16"/>
          <w:szCs w:val="16"/>
        </w:rPr>
        <w:t>Coroners Act 2008</w:t>
      </w:r>
      <w:r w:rsidRPr="00030932">
        <w:rPr>
          <w:rFonts w:cstheme="minorHAnsi"/>
          <w:sz w:val="16"/>
          <w:szCs w:val="16"/>
        </w:rPr>
        <w:t>, 25 June 2010 [15].</w:t>
      </w:r>
    </w:p>
  </w:footnote>
  <w:footnote w:id="33">
    <w:p w14:paraId="12368140" w14:textId="7AC39864" w:rsidR="00091271" w:rsidRPr="00030932" w:rsidRDefault="00091271" w:rsidP="00091271">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007564D4" w:rsidRPr="00030932">
        <w:rPr>
          <w:rFonts w:cstheme="minorHAnsi"/>
          <w:sz w:val="16"/>
          <w:szCs w:val="16"/>
        </w:rPr>
        <w:t>ICCPR</w:t>
      </w:r>
      <w:r w:rsidR="0052729E" w:rsidRPr="00030932">
        <w:rPr>
          <w:rFonts w:cstheme="minorHAnsi"/>
          <w:sz w:val="16"/>
          <w:szCs w:val="16"/>
        </w:rPr>
        <w:t xml:space="preserve"> art </w:t>
      </w:r>
      <w:r w:rsidR="004F6B36" w:rsidRPr="00030932">
        <w:rPr>
          <w:rFonts w:cstheme="minorHAnsi"/>
          <w:sz w:val="16"/>
          <w:szCs w:val="16"/>
        </w:rPr>
        <w:t>4(2) and 6</w:t>
      </w:r>
      <w:r w:rsidR="00CB7233" w:rsidRPr="00030932">
        <w:rPr>
          <w:rFonts w:cstheme="minorHAnsi"/>
          <w:sz w:val="16"/>
          <w:szCs w:val="16"/>
        </w:rPr>
        <w:t>(1).</w:t>
      </w:r>
    </w:p>
  </w:footnote>
  <w:footnote w:id="34">
    <w:p w14:paraId="53EFE5FE" w14:textId="6F3E3D51" w:rsidR="0085211F" w:rsidRPr="00030932" w:rsidRDefault="0085211F">
      <w:pPr>
        <w:pStyle w:val="FootnoteText"/>
        <w:rPr>
          <w:sz w:val="16"/>
          <w:szCs w:val="16"/>
        </w:rPr>
      </w:pPr>
      <w:r w:rsidRPr="00030932">
        <w:rPr>
          <w:rStyle w:val="FootnoteReference"/>
          <w:sz w:val="16"/>
          <w:szCs w:val="16"/>
        </w:rPr>
        <w:footnoteRef/>
      </w:r>
      <w:r w:rsidRPr="00030932">
        <w:rPr>
          <w:sz w:val="16"/>
          <w:szCs w:val="16"/>
        </w:rPr>
        <w:t xml:space="preserve"> </w:t>
      </w:r>
      <w:r w:rsidRPr="00030932">
        <w:rPr>
          <w:sz w:val="16"/>
          <w:szCs w:val="16"/>
        </w:rPr>
        <w:fldChar w:fldCharType="begin"/>
      </w:r>
      <w:r w:rsidR="00E33440" w:rsidRPr="00030932">
        <w:rPr>
          <w:sz w:val="16"/>
          <w:szCs w:val="16"/>
        </w:rPr>
        <w:instrText xml:space="preserve"> ADDIN ZOTERO_ITEM CSL_CITATION {"citationID":"pZyRtxsb","properties":{"formattedCitation":"Anne-Maree Sawyer, \\uc0\\u8216{}Negotiating the Interface between Risk Management and Human Rights-Based Care\\uc0\\u8217{} [2017] {\\i{}Beyond the Risk Paradigm in Mental Health Policy and Practice} 103; Christopher James Ryan, Sascha Callaghan and Matthew Large, \\uc0\\u8216{}The Importance of Least Restrictive Care: The Clinical Implications of a Recent High Court Decision on Negligence\\uc0\\u8217{} (2015) 23(4) {\\i{}Australasian Psychiatry} 415; M Large et al, \\uc0\\u8216{}Suicide Risk Assessment among Psychiatric Inpatients: A Systematic Review and Meta-Analysis of High-Risk Categories\\uc0\\u8217{} (2018) 48(7) {\\i{}Psychological Medicine} 1119.","plainCitation":"Anne-Maree Sawyer, ‘Negotiating the Interface between Risk Management and Human Rights-Based Care’ [2017] Beyond the Risk Paradigm in Mental Health Policy and Practice 103; Christopher James Ryan, Sascha Callaghan and Matthew Large, ‘The Importance of Least Restrictive Care: The Clinical Implications of a Recent High Court Decision on Negligence’ (2015) 23(4) Australasian Psychiatry 415; M Large et al, ‘Suicide Risk Assessment among Psychiatric Inpatients: A Systematic Review and Meta-Analysis of High-Risk Categories’ (2018) 48(7) Psychological Medicine 1119.","noteIndex":121},"citationItems":[{"id":46,"uris":["http://zotero.org/users/local/OLPofQUL/items/JF9YKE4D"],"itemData":{"id":46,"type":"article-journal","container-title":"Beyond the Risk Paradigm in Mental Health Policy and Practice","ISSN":"1137441364","page":"103-120","title":"Negotiating the interface between risk management and human rights-based care","author":[{"family":"Sawyer","given":"Anne-Maree"}],"issued":{"date-parts":[["2017"]]}}},{"id":1994,"uris":["http://zotero.org/users/local/OLPofQUL/items/XBM2LZ9A"],"itemData":{"id":1994,"type":"article-journal","container-title":"Australasian Psychiatry","issue":"4","note":"ISBN: 1039-8562\npublisher: SAGE Publications Sage UK: London, England","page":"415-417","title":"The importance of least restrictive care: the clinical implications of a recent High Court decision on negligence","volume":"23","author":[{"family":"Ryan","given":"Christopher James"},{"family":"Callaghan","given":"Sascha"},{"family":"Large","given":"Matthew"}],"issued":{"date-parts":[["2015"]]}}},{"id":702,"uris":["http://zotero.org/users/local/OLPofQUL/items/FWTI6P4U"],"itemData":{"id":702,"type":"article-journal","container-title":"Psychological Medicine","issue":"7","note":"ISBN: 0033-2917\npublisher: Cambridge University Press","page":"1119-1127","title":"Suicide risk assessment among psychiatric inpatients: a systematic review and meta-analysis of high-risk categories","volume":"48","author":[{"family":"Large","given":"M."},{"family":"Myles","given":"N."},{"family":"Myles","given":"H."},{"family":"Corderoy","given":"A."},{"family":"Weiser","given":"M."},{"family":"Davidson","given":"M."},{"family":"Ryan","given":"C. J."}],"issued":{"date-parts":[["2018"]]}}}],"schema":"https://github.com/citation-style-language/schema/raw/master/csl-citation.json"} </w:instrText>
      </w:r>
      <w:r w:rsidRPr="00030932">
        <w:rPr>
          <w:sz w:val="16"/>
          <w:szCs w:val="16"/>
        </w:rPr>
        <w:fldChar w:fldCharType="separate"/>
      </w:r>
      <w:r w:rsidR="00677A39" w:rsidRPr="00030932">
        <w:rPr>
          <w:rFonts w:ascii="Calibri" w:hAnsi="Calibri" w:cs="Calibri"/>
          <w:sz w:val="16"/>
          <w:szCs w:val="16"/>
        </w:rPr>
        <w:t xml:space="preserve">Anne-Maree Sawyer, ‘Negotiating the Interface between Risk Management and Human Rights-Based Care’ [2017] </w:t>
      </w:r>
      <w:r w:rsidR="00677A39" w:rsidRPr="00030932">
        <w:rPr>
          <w:rFonts w:ascii="Calibri" w:hAnsi="Calibri" w:cs="Calibri"/>
          <w:i/>
          <w:iCs/>
          <w:sz w:val="16"/>
          <w:szCs w:val="16"/>
        </w:rPr>
        <w:t>Beyond the Risk Paradigm in Mental Health Policy and Practice</w:t>
      </w:r>
      <w:r w:rsidR="00677A39" w:rsidRPr="00030932">
        <w:rPr>
          <w:rFonts w:ascii="Calibri" w:hAnsi="Calibri" w:cs="Calibri"/>
          <w:sz w:val="16"/>
          <w:szCs w:val="16"/>
        </w:rPr>
        <w:t xml:space="preserve"> 103; Christopher James Ryan, Sascha Callaghan and Matthew Large, ‘The Importance of Least Restrictive Care: The Clinical Implications of a Recent High Court Decision on Negligence’ (2015) 23(4) </w:t>
      </w:r>
      <w:r w:rsidR="00677A39" w:rsidRPr="00030932">
        <w:rPr>
          <w:rFonts w:ascii="Calibri" w:hAnsi="Calibri" w:cs="Calibri"/>
          <w:i/>
          <w:iCs/>
          <w:sz w:val="16"/>
          <w:szCs w:val="16"/>
        </w:rPr>
        <w:t>Australasian Psychiatry</w:t>
      </w:r>
      <w:r w:rsidR="00677A39" w:rsidRPr="00030932">
        <w:rPr>
          <w:rFonts w:ascii="Calibri" w:hAnsi="Calibri" w:cs="Calibri"/>
          <w:sz w:val="16"/>
          <w:szCs w:val="16"/>
        </w:rPr>
        <w:t xml:space="preserve"> 415; M Large et al, ‘Suicide Risk Assessment among Psychiatric Inpatients: A Systematic Review and Meta-Analysis of High-Risk Categories’ (2018) 48(7) </w:t>
      </w:r>
      <w:r w:rsidR="00677A39" w:rsidRPr="00030932">
        <w:rPr>
          <w:rFonts w:ascii="Calibri" w:hAnsi="Calibri" w:cs="Calibri"/>
          <w:i/>
          <w:iCs/>
          <w:sz w:val="16"/>
          <w:szCs w:val="16"/>
        </w:rPr>
        <w:t>Psychological Medicine</w:t>
      </w:r>
      <w:r w:rsidR="00677A39" w:rsidRPr="00030932">
        <w:rPr>
          <w:rFonts w:ascii="Calibri" w:hAnsi="Calibri" w:cs="Calibri"/>
          <w:sz w:val="16"/>
          <w:szCs w:val="16"/>
        </w:rPr>
        <w:t xml:space="preserve"> 1119.</w:t>
      </w:r>
      <w:r w:rsidRPr="00030932">
        <w:rPr>
          <w:sz w:val="16"/>
          <w:szCs w:val="16"/>
        </w:rPr>
        <w:fldChar w:fldCharType="end"/>
      </w:r>
    </w:p>
  </w:footnote>
  <w:footnote w:id="35">
    <w:p w14:paraId="4A36E5F8" w14:textId="7D7F96B0" w:rsidR="009C7B9A" w:rsidRPr="00030932" w:rsidRDefault="009C7B9A">
      <w:pPr>
        <w:pStyle w:val="FootnoteText"/>
        <w:rPr>
          <w:sz w:val="16"/>
          <w:szCs w:val="16"/>
        </w:rPr>
      </w:pPr>
      <w:r w:rsidRPr="00030932">
        <w:rPr>
          <w:rStyle w:val="FootnoteReference"/>
          <w:sz w:val="16"/>
          <w:szCs w:val="16"/>
        </w:rPr>
        <w:footnoteRef/>
      </w:r>
      <w:r w:rsidRPr="00030932">
        <w:rPr>
          <w:sz w:val="16"/>
          <w:szCs w:val="16"/>
        </w:rPr>
        <w:t xml:space="preserve"> </w:t>
      </w:r>
      <w:r w:rsidRPr="00030932">
        <w:rPr>
          <w:sz w:val="16"/>
          <w:szCs w:val="16"/>
        </w:rPr>
        <w:fldChar w:fldCharType="begin"/>
      </w:r>
      <w:r w:rsidR="00E33440" w:rsidRPr="00030932">
        <w:rPr>
          <w:sz w:val="16"/>
          <w:szCs w:val="16"/>
        </w:rPr>
        <w:instrText xml:space="preserve"> ADDIN ZOTERO_ITEM CSL_CITATION {"citationID":"gCtDz5vP","properties":{"formattedCitation":"Matthew Large et al, \\uc0\\u8216{}Nosocomial Suicide\\uc0\\u8217{} (2014) 22(2) {\\i{}Australasian Psychiatry} 118.","plainCitation":"Matthew Large et al, ‘Nosocomial Suicide’ (2014) 22(2) Australasian Psychiatry 118.","noteIndex":122},"citationItems":[{"id":1571,"uris":["http://zotero.org/users/local/OLPofQUL/items/Y6HEUYU2"],"itemData":{"id":1571,"type":"article-journal","container-title":"Australasian Psychiatry","issue":"2","note":"ISBN: 1039-8562\npublisher: Sage Publications Sage UK: London, England","page":"118-121","title":"Nosocomial suicide","volume":"22","author":[{"family":"Large","given":"Matthew"},{"family":"Ryan","given":"Christopher"},{"family":"Walsh","given":"Gerard"},{"family":"Stein-Parbury","given":"Jane"},{"family":"Patfield","given":"Martyn"}],"issued":{"date-parts":[["2014"]]}}}],"schema":"https://github.com/citation-style-language/schema/raw/master/csl-citation.json"} </w:instrText>
      </w:r>
      <w:r w:rsidRPr="00030932">
        <w:rPr>
          <w:sz w:val="16"/>
          <w:szCs w:val="16"/>
        </w:rPr>
        <w:fldChar w:fldCharType="separate"/>
      </w:r>
      <w:r w:rsidRPr="00030932">
        <w:rPr>
          <w:rFonts w:ascii="Calibri" w:hAnsi="Calibri" w:cs="Calibri"/>
          <w:sz w:val="16"/>
          <w:szCs w:val="16"/>
        </w:rPr>
        <w:t xml:space="preserve">Matthew Large et al, ‘Nosocomial Suicide’ (2014) 22(2) </w:t>
      </w:r>
      <w:r w:rsidRPr="00030932">
        <w:rPr>
          <w:rFonts w:ascii="Calibri" w:hAnsi="Calibri" w:cs="Calibri"/>
          <w:i/>
          <w:iCs/>
          <w:sz w:val="16"/>
          <w:szCs w:val="16"/>
        </w:rPr>
        <w:t>Australasian Psychiatry</w:t>
      </w:r>
      <w:r w:rsidRPr="00030932">
        <w:rPr>
          <w:rFonts w:ascii="Calibri" w:hAnsi="Calibri" w:cs="Calibri"/>
          <w:sz w:val="16"/>
          <w:szCs w:val="16"/>
        </w:rPr>
        <w:t xml:space="preserve"> 118.</w:t>
      </w:r>
      <w:r w:rsidRPr="00030932">
        <w:rPr>
          <w:sz w:val="16"/>
          <w:szCs w:val="16"/>
        </w:rPr>
        <w:fldChar w:fldCharType="end"/>
      </w:r>
    </w:p>
  </w:footnote>
  <w:footnote w:id="36">
    <w:p w14:paraId="1A1223AA" w14:textId="23C75469" w:rsidR="00683B99" w:rsidRPr="00030932" w:rsidRDefault="00683B99">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00DE01EC" w:rsidRPr="00030932">
        <w:rPr>
          <w:rFonts w:cstheme="minorHAnsi"/>
          <w:sz w:val="16"/>
          <w:szCs w:val="16"/>
        </w:rPr>
        <w:fldChar w:fldCharType="begin"/>
      </w:r>
      <w:r w:rsidR="00E33440" w:rsidRPr="00030932">
        <w:rPr>
          <w:rFonts w:cstheme="minorHAnsi"/>
          <w:sz w:val="16"/>
          <w:szCs w:val="16"/>
        </w:rPr>
        <w:instrText xml:space="preserve"> ADDIN ZOTERO_ITEM CSL_CITATION {"citationID":"yseJPSyX","properties":{"formattedCitation":"Penelope Weller, \\uc0\\u8216{}OPCAT Monitoring and the Convention on the Rights of Persons with Disabilities\\uc0\\u8217{} (2019) 25(1) {\\i{}Australian Journal of Human Rights} 130.","plainCitation":"Penelope Weller, ‘OPCAT Monitoring and the Convention on the Rights of Persons with Disabilities’ (2019) 25(1) Australian Journal of Human Rights 130.","noteIndex":123},"citationItems":[{"id":70,"uris":["http://zotero.org/users/local/OLPofQUL/items/NYDVYRIY"],"itemData":{"id":70,"type":"article-journal","container-title":"Australian Journal of Human Rights","ISSN":"1323-238X","issue":"1","page":"130-149","title":"OPCAT monitoring and the Convention on the Rights of Persons with Disabilities","volume":"25","author":[{"family":"Weller","given":"Penelope"}],"issued":{"date-parts":[["2019"]]}}}],"schema":"https://github.com/citation-style-language/schema/raw/master/csl-citation.json"} </w:instrText>
      </w:r>
      <w:r w:rsidR="00DE01EC" w:rsidRPr="00030932">
        <w:rPr>
          <w:rFonts w:cstheme="minorHAnsi"/>
          <w:sz w:val="16"/>
          <w:szCs w:val="16"/>
        </w:rPr>
        <w:fldChar w:fldCharType="separate"/>
      </w:r>
      <w:r w:rsidR="00DE01EC" w:rsidRPr="00030932">
        <w:rPr>
          <w:rFonts w:cstheme="minorHAnsi"/>
          <w:sz w:val="16"/>
          <w:szCs w:val="16"/>
        </w:rPr>
        <w:t xml:space="preserve">Penelope Weller, ‘OPCAT Monitoring and the Convention on the Rights of Persons with Disabilities’ (2019) 25(1) </w:t>
      </w:r>
      <w:r w:rsidR="00DE01EC" w:rsidRPr="00030932">
        <w:rPr>
          <w:rFonts w:cstheme="minorHAnsi"/>
          <w:i/>
          <w:iCs/>
          <w:sz w:val="16"/>
          <w:szCs w:val="16"/>
        </w:rPr>
        <w:t>Australian Journal of Human Rights</w:t>
      </w:r>
      <w:r w:rsidR="00DE01EC" w:rsidRPr="00030932">
        <w:rPr>
          <w:rFonts w:cstheme="minorHAnsi"/>
          <w:sz w:val="16"/>
          <w:szCs w:val="16"/>
        </w:rPr>
        <w:t xml:space="preserve"> 130.</w:t>
      </w:r>
      <w:r w:rsidR="00DE01EC" w:rsidRPr="00030932">
        <w:rPr>
          <w:rFonts w:cstheme="minorHAnsi"/>
          <w:sz w:val="16"/>
          <w:szCs w:val="16"/>
        </w:rPr>
        <w:fldChar w:fldCharType="end"/>
      </w:r>
    </w:p>
  </w:footnote>
  <w:footnote w:id="37">
    <w:p w14:paraId="0D6A620D" w14:textId="3E7640E7" w:rsidR="00B74ADD" w:rsidRPr="00030932" w:rsidRDefault="00B74ADD">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001454AB" w:rsidRPr="00030932">
        <w:rPr>
          <w:rFonts w:cstheme="minorHAnsi"/>
          <w:i/>
          <w:iCs/>
          <w:sz w:val="16"/>
          <w:szCs w:val="16"/>
        </w:rPr>
        <w:t>Convention against Torture and Other Cruel, Inhuman or Degrading Treatment or Punishment</w:t>
      </w:r>
      <w:r w:rsidR="001454AB" w:rsidRPr="00030932">
        <w:rPr>
          <w:rFonts w:cstheme="minorHAnsi"/>
          <w:sz w:val="16"/>
          <w:szCs w:val="16"/>
        </w:rPr>
        <w:t>, opened for signature 10 December 1984, 1465 UNTS 85 (entered into force 26 June 1987).</w:t>
      </w:r>
    </w:p>
  </w:footnote>
  <w:footnote w:id="38">
    <w:p w14:paraId="309ED803" w14:textId="47883742" w:rsidR="007C0DAF" w:rsidRPr="00030932" w:rsidRDefault="00270D8D">
      <w:pPr>
        <w:pStyle w:val="FootnoteText"/>
        <w:rPr>
          <w:rFonts w:cstheme="minorHAnsi"/>
          <w:sz w:val="16"/>
          <w:szCs w:val="16"/>
        </w:rPr>
      </w:pPr>
      <w:r w:rsidRPr="00030932">
        <w:rPr>
          <w:rStyle w:val="FootnoteReference"/>
          <w:sz w:val="16"/>
          <w:szCs w:val="16"/>
        </w:rPr>
        <w:footnoteRef/>
      </w:r>
      <w:r w:rsidR="007C0DAF" w:rsidRPr="00030932">
        <w:rPr>
          <w:rFonts w:cstheme="minorHAnsi"/>
          <w:sz w:val="16"/>
          <w:szCs w:val="16"/>
        </w:rPr>
        <w:t xml:space="preserve"> </w:t>
      </w:r>
      <w:r w:rsidR="00EE5CCE" w:rsidRPr="00030932">
        <w:rPr>
          <w:rFonts w:cstheme="minorHAnsi"/>
          <w:i/>
          <w:iCs/>
          <w:sz w:val="16"/>
          <w:szCs w:val="16"/>
        </w:rPr>
        <w:t>Certain Children v Minister for Families</w:t>
      </w:r>
      <w:r w:rsidR="0074642E" w:rsidRPr="00030932">
        <w:rPr>
          <w:rFonts w:cstheme="minorHAnsi"/>
          <w:i/>
          <w:iCs/>
          <w:sz w:val="16"/>
          <w:szCs w:val="16"/>
        </w:rPr>
        <w:t xml:space="preserve"> and Children (No 2) </w:t>
      </w:r>
      <w:r w:rsidR="0074642E" w:rsidRPr="00030932">
        <w:rPr>
          <w:rFonts w:cstheme="minorHAnsi"/>
          <w:sz w:val="16"/>
          <w:szCs w:val="16"/>
        </w:rPr>
        <w:t>(2017) 52</w:t>
      </w:r>
      <w:r w:rsidR="000E5F5A" w:rsidRPr="00030932">
        <w:rPr>
          <w:rFonts w:cstheme="minorHAnsi"/>
          <w:sz w:val="16"/>
          <w:szCs w:val="16"/>
        </w:rPr>
        <w:t xml:space="preserve"> VR 441; [2017]</w:t>
      </w:r>
      <w:r w:rsidR="00AD19A3" w:rsidRPr="00030932">
        <w:rPr>
          <w:rFonts w:cstheme="minorHAnsi"/>
          <w:sz w:val="16"/>
          <w:szCs w:val="16"/>
        </w:rPr>
        <w:t xml:space="preserve"> VSC 251 at [250].</w:t>
      </w:r>
    </w:p>
  </w:footnote>
  <w:footnote w:id="39">
    <w:p w14:paraId="517471C6" w14:textId="77777777" w:rsidR="00677A39" w:rsidRPr="00030932" w:rsidRDefault="00677A39" w:rsidP="00677A39">
      <w:pPr>
        <w:pStyle w:val="FootnoteText"/>
        <w:rPr>
          <w:sz w:val="16"/>
          <w:szCs w:val="16"/>
        </w:rPr>
      </w:pPr>
      <w:r w:rsidRPr="00030932">
        <w:rPr>
          <w:rStyle w:val="FootnoteReference"/>
          <w:sz w:val="16"/>
          <w:szCs w:val="16"/>
        </w:rPr>
        <w:footnoteRef/>
      </w:r>
      <w:r w:rsidRPr="00030932">
        <w:rPr>
          <w:sz w:val="16"/>
          <w:szCs w:val="16"/>
        </w:rPr>
        <w:t xml:space="preserve"> For example the Supreme Court held that smoking bans in services did not amount to ‘treatment’ and therefore didn’t engage this right: </w:t>
      </w:r>
      <w:r w:rsidRPr="00030932">
        <w:rPr>
          <w:rFonts w:cstheme="minorHAnsi"/>
          <w:i/>
          <w:iCs/>
          <w:sz w:val="16"/>
          <w:szCs w:val="16"/>
        </w:rPr>
        <w:t xml:space="preserve">Robert Peter De Bruyn v Victorian Institute of Forensic Mental Health </w:t>
      </w:r>
      <w:r w:rsidRPr="00030932">
        <w:rPr>
          <w:rFonts w:cstheme="minorHAnsi"/>
          <w:sz w:val="16"/>
          <w:szCs w:val="16"/>
        </w:rPr>
        <w:t>[2016] VSC 111 at [169]</w:t>
      </w:r>
    </w:p>
  </w:footnote>
  <w:footnote w:id="40">
    <w:p w14:paraId="44AD2804" w14:textId="24373450" w:rsidR="00106C18" w:rsidRPr="00030932" w:rsidRDefault="00106C18">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rPr>
        <w:t xml:space="preserve">Certain Children v Minister for Families and Children (No 2) </w:t>
      </w:r>
      <w:r w:rsidRPr="00030932">
        <w:rPr>
          <w:rFonts w:cstheme="minorHAnsi"/>
          <w:sz w:val="16"/>
          <w:szCs w:val="16"/>
        </w:rPr>
        <w:t>(2017) 52 VR 441; [2017] VSC 251 at [25</w:t>
      </w:r>
      <w:r w:rsidR="00C40AF8" w:rsidRPr="00030932">
        <w:rPr>
          <w:rFonts w:cstheme="minorHAnsi"/>
          <w:sz w:val="16"/>
          <w:szCs w:val="16"/>
        </w:rPr>
        <w:t>0</w:t>
      </w:r>
      <w:r w:rsidRPr="00030932">
        <w:rPr>
          <w:rFonts w:cstheme="minorHAnsi"/>
          <w:sz w:val="16"/>
          <w:szCs w:val="16"/>
        </w:rPr>
        <w:t>].</w:t>
      </w:r>
    </w:p>
  </w:footnote>
  <w:footnote w:id="41">
    <w:p w14:paraId="65DE2650" w14:textId="3DEA5036" w:rsidR="00B21EFE" w:rsidRPr="00030932" w:rsidRDefault="00B21EFE">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002A05C1" w:rsidRPr="00030932">
        <w:rPr>
          <w:rFonts w:cstheme="minorHAnsi"/>
          <w:sz w:val="16"/>
          <w:szCs w:val="16"/>
        </w:rPr>
        <w:fldChar w:fldCharType="begin"/>
      </w:r>
      <w:r w:rsidR="00E33440" w:rsidRPr="00030932">
        <w:rPr>
          <w:rFonts w:cstheme="minorHAnsi"/>
          <w:sz w:val="16"/>
          <w:szCs w:val="16"/>
        </w:rPr>
        <w:instrText xml:space="preserve"> ADDIN ZOTERO_ITEM CSL_CITATION {"citationID":"iNZKuyu2","properties":{"formattedCitation":"Human Rights Committee, {\\i{}General Comment No 20: Article 7 (Prohibition of Torture, or Other Cruel,Inhuman or Degrading Treatment or Punishment)} (44th session, UN Doc A/44/40 (10 March 1992)).","plainCitation":"Human Rights Committee, General Comment No 20: Article 7 (Prohibition of Torture, or Other Cruel,Inhuman or Degrading Treatment or Punishment) (44th session, UN Doc A/44/40 (10 March 1992)).","dontUpdate":true,"noteIndex":128},"citationItems":[{"id":2047,"uris":["http://zotero.org/users/local/OLPofQUL/items/EHGEKDNG"],"itemData":{"id":2047,"type":"book","publisher":"44th session, UN Doc A/44/40 (10 March 1992)","title":"General Comment No 20: Article 7 (Prohibition of Torture, or Other Cruel,Inhuman or Degrading Treatment or Punishment)","author":[{"family":"Human Rights Committee","given":""}]}}],"schema":"https://github.com/citation-style-language/schema/raw/master/csl-citation.json"} </w:instrText>
      </w:r>
      <w:r w:rsidR="002A05C1" w:rsidRPr="00030932">
        <w:rPr>
          <w:rFonts w:cstheme="minorHAnsi"/>
          <w:sz w:val="16"/>
          <w:szCs w:val="16"/>
        </w:rPr>
        <w:fldChar w:fldCharType="separate"/>
      </w:r>
      <w:r w:rsidR="002A05C1" w:rsidRPr="00030932">
        <w:rPr>
          <w:rFonts w:cstheme="minorHAnsi"/>
          <w:sz w:val="16"/>
          <w:szCs w:val="16"/>
        </w:rPr>
        <w:t xml:space="preserve">Human Rights Committee, </w:t>
      </w:r>
      <w:r w:rsidR="002A05C1" w:rsidRPr="00030932">
        <w:rPr>
          <w:rFonts w:cstheme="minorHAnsi"/>
          <w:i/>
          <w:sz w:val="16"/>
          <w:szCs w:val="16"/>
        </w:rPr>
        <w:t>General Comment No 20: Article 7 (Prohibition of Torture, or Other Cruel,</w:t>
      </w:r>
      <w:r w:rsidR="00A149B4" w:rsidRPr="00030932">
        <w:rPr>
          <w:rFonts w:cstheme="minorHAnsi"/>
          <w:i/>
          <w:iCs/>
          <w:sz w:val="16"/>
          <w:szCs w:val="16"/>
        </w:rPr>
        <w:t xml:space="preserve"> </w:t>
      </w:r>
      <w:r w:rsidR="002A05C1" w:rsidRPr="00030932">
        <w:rPr>
          <w:rFonts w:cstheme="minorHAnsi"/>
          <w:i/>
          <w:sz w:val="16"/>
          <w:szCs w:val="16"/>
        </w:rPr>
        <w:t>Inhuman or Degrading Treatment or Punishment)</w:t>
      </w:r>
      <w:r w:rsidR="00DB5CD0" w:rsidRPr="00030932">
        <w:rPr>
          <w:rFonts w:cstheme="minorHAnsi"/>
          <w:sz w:val="16"/>
          <w:szCs w:val="16"/>
        </w:rPr>
        <w:t>,</w:t>
      </w:r>
      <w:r w:rsidR="002A05C1" w:rsidRPr="00030932">
        <w:rPr>
          <w:rFonts w:cstheme="minorHAnsi"/>
          <w:sz w:val="16"/>
          <w:szCs w:val="16"/>
        </w:rPr>
        <w:t xml:space="preserve"> 44th session, UN Doc A/44/40 (10 March 1992)</w:t>
      </w:r>
      <w:r w:rsidR="00DB5CD0" w:rsidRPr="00030932">
        <w:rPr>
          <w:rFonts w:cstheme="minorHAnsi"/>
          <w:sz w:val="16"/>
          <w:szCs w:val="16"/>
        </w:rPr>
        <w:t xml:space="preserve"> at [6]</w:t>
      </w:r>
      <w:r w:rsidR="002A05C1" w:rsidRPr="00030932">
        <w:rPr>
          <w:rFonts w:cstheme="minorHAnsi"/>
          <w:sz w:val="16"/>
          <w:szCs w:val="16"/>
        </w:rPr>
        <w:t>.</w:t>
      </w:r>
      <w:r w:rsidR="002A05C1" w:rsidRPr="00030932">
        <w:rPr>
          <w:rFonts w:cstheme="minorHAnsi"/>
          <w:sz w:val="16"/>
          <w:szCs w:val="16"/>
        </w:rPr>
        <w:fldChar w:fldCharType="end"/>
      </w:r>
    </w:p>
  </w:footnote>
  <w:footnote w:id="42">
    <w:p w14:paraId="08453FD3" w14:textId="3AAEC875" w:rsidR="00EA11ED" w:rsidRPr="00030932" w:rsidRDefault="00EA11ED">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00291899" w:rsidRPr="00030932">
        <w:rPr>
          <w:rFonts w:cstheme="minorHAnsi"/>
          <w:sz w:val="16"/>
          <w:szCs w:val="16"/>
        </w:rPr>
        <w:t>For example, where a failure to provide mental health care in prison settings, which ultimately resulted in a person’s suicide, was held to violate article</w:t>
      </w:r>
      <w:r w:rsidR="0099015F" w:rsidRPr="00030932">
        <w:rPr>
          <w:rFonts w:cstheme="minorHAnsi"/>
          <w:sz w:val="16"/>
          <w:szCs w:val="16"/>
        </w:rPr>
        <w:t xml:space="preserve"> 3 of the European Convention on Human Rights, which matches section 10(b) under the Charter: </w:t>
      </w:r>
      <w:r w:rsidR="000034BA" w:rsidRPr="00030932">
        <w:rPr>
          <w:rFonts w:cstheme="minorHAnsi"/>
          <w:i/>
          <w:iCs/>
          <w:sz w:val="16"/>
          <w:szCs w:val="16"/>
        </w:rPr>
        <w:t xml:space="preserve">Keenan v United Kingdom </w:t>
      </w:r>
      <w:r w:rsidR="000034BA" w:rsidRPr="00030932">
        <w:rPr>
          <w:rFonts w:cstheme="minorHAnsi"/>
          <w:sz w:val="16"/>
          <w:szCs w:val="16"/>
        </w:rPr>
        <w:t>(2001) 33 EHHR</w:t>
      </w:r>
      <w:r w:rsidR="00291899" w:rsidRPr="00030932">
        <w:rPr>
          <w:rFonts w:cstheme="minorHAnsi"/>
          <w:sz w:val="16"/>
          <w:szCs w:val="16"/>
        </w:rPr>
        <w:t xml:space="preserve"> 38; [2001] ECHR 242 at [108]</w:t>
      </w:r>
      <w:r w:rsidR="003B6112" w:rsidRPr="00030932">
        <w:rPr>
          <w:rFonts w:cstheme="minorHAnsi"/>
          <w:sz w:val="16"/>
          <w:szCs w:val="16"/>
        </w:rPr>
        <w:t xml:space="preserve"> – </w:t>
      </w:r>
      <w:r w:rsidR="00291899" w:rsidRPr="00030932">
        <w:rPr>
          <w:rFonts w:cstheme="minorHAnsi"/>
          <w:sz w:val="16"/>
          <w:szCs w:val="16"/>
        </w:rPr>
        <w:t>[115]</w:t>
      </w:r>
      <w:r w:rsidR="0099015F" w:rsidRPr="00030932">
        <w:rPr>
          <w:rFonts w:cstheme="minorHAnsi"/>
          <w:sz w:val="16"/>
          <w:szCs w:val="16"/>
        </w:rPr>
        <w:t>.</w:t>
      </w:r>
    </w:p>
  </w:footnote>
  <w:footnote w:id="43">
    <w:p w14:paraId="6C69A962" w14:textId="4B029F5D" w:rsidR="00677A39" w:rsidRPr="00030932" w:rsidRDefault="00677A39">
      <w:pPr>
        <w:pStyle w:val="FootnoteText"/>
        <w:rPr>
          <w:sz w:val="16"/>
          <w:szCs w:val="16"/>
        </w:rPr>
      </w:pPr>
      <w:r w:rsidRPr="00030932">
        <w:rPr>
          <w:rStyle w:val="FootnoteReference"/>
          <w:sz w:val="16"/>
          <w:szCs w:val="16"/>
        </w:rPr>
        <w:footnoteRef/>
      </w:r>
      <w:r w:rsidRPr="00030932">
        <w:rPr>
          <w:sz w:val="16"/>
          <w:szCs w:val="16"/>
        </w:rPr>
        <w:t xml:space="preserve"> </w:t>
      </w:r>
      <w:r w:rsidRPr="00030932">
        <w:rPr>
          <w:sz w:val="16"/>
          <w:szCs w:val="16"/>
        </w:rPr>
        <w:fldChar w:fldCharType="begin"/>
      </w:r>
      <w:r w:rsidR="00E33440" w:rsidRPr="00030932">
        <w:rPr>
          <w:sz w:val="16"/>
          <w:szCs w:val="16"/>
        </w:rPr>
        <w:instrText xml:space="preserve"> ADDIN ZOTERO_ITEM CSL_CITATION {"citationID":"kmJQOckM","properties":{"formattedCitation":"Joanne Suggett et al, \\uc0\\u8216{}Natural Cause Mortality of Mental Health Consumers: A 10\\uc0\\u8208{}year Retrospective Cohort Study\\uc0\\u8217{} (2021) 30(2) {\\i{}International Journal of Mental Health Nursing} 390.","plainCitation":"Joanne Suggett et al, ‘Natural Cause Mortality of Mental Health Consumers: A 10‐year Retrospective Cohort Study’ (2021) 30(2) International Journal of Mental Health Nursing 390.","noteIndex":130},"citationItems":[{"id":841,"uris":["http://zotero.org/users/local/OLPofQUL/items/BWWJI264"],"itemData":{"id":841,"type":"article-journal","container-title":"International Journal of Mental Health Nursing","issue":"2","note":"ISBN: 1445-8330\npublisher: Wiley Online Library","page":"390-400","title":"Natural cause mortality of mental health consumers: A 10‐year retrospective cohort study","volume":"30","author":[{"family":"Suggett","given":"Joanne"},{"family":"Foster","given":"Kim"},{"family":"Lakra","given":"Vinay"},{"family":"Steele","given":"Michael"},{"family":"Furness","given":"Trentham"}],"issued":{"date-parts":[["2021"]]}}}],"schema":"https://github.com/citation-style-language/schema/raw/master/csl-citation.json"} </w:instrText>
      </w:r>
      <w:r w:rsidRPr="00030932">
        <w:rPr>
          <w:sz w:val="16"/>
          <w:szCs w:val="16"/>
        </w:rPr>
        <w:fldChar w:fldCharType="separate"/>
      </w:r>
      <w:r w:rsidRPr="00030932">
        <w:rPr>
          <w:rFonts w:ascii="Calibri" w:hAnsi="Calibri" w:cs="Calibri"/>
          <w:sz w:val="16"/>
          <w:szCs w:val="16"/>
        </w:rPr>
        <w:t xml:space="preserve">Joanne Suggett et al, ‘Natural Cause Mortality of Mental Health Consumers: A 10‐year Retrospective Cohort Study’ (2021) 30(2) </w:t>
      </w:r>
      <w:r w:rsidRPr="00030932">
        <w:rPr>
          <w:rFonts w:ascii="Calibri" w:hAnsi="Calibri" w:cs="Calibri"/>
          <w:i/>
          <w:iCs/>
          <w:sz w:val="16"/>
          <w:szCs w:val="16"/>
        </w:rPr>
        <w:t>International Journal of Mental Health Nursing</w:t>
      </w:r>
      <w:r w:rsidRPr="00030932">
        <w:rPr>
          <w:rFonts w:ascii="Calibri" w:hAnsi="Calibri" w:cs="Calibri"/>
          <w:sz w:val="16"/>
          <w:szCs w:val="16"/>
        </w:rPr>
        <w:t xml:space="preserve"> 390.</w:t>
      </w:r>
      <w:r w:rsidRPr="00030932">
        <w:rPr>
          <w:sz w:val="16"/>
          <w:szCs w:val="16"/>
        </w:rPr>
        <w:fldChar w:fldCharType="end"/>
      </w:r>
    </w:p>
  </w:footnote>
  <w:footnote w:id="44">
    <w:p w14:paraId="15C97067" w14:textId="1E7DA016" w:rsidR="00DE26D2" w:rsidRPr="00030932" w:rsidRDefault="00DE26D2">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5A3579">
        <w:rPr>
          <w:rFonts w:cstheme="minorHAnsi"/>
          <w:sz w:val="16"/>
          <w:szCs w:val="16"/>
        </w:rPr>
        <w:instrText xml:space="preserve"> ADDIN ZOTERO_ITEM CSL_CITATION {"citationID":"vkG0cRP0","properties":{"formattedCitation":"Chris Maylea and Asher Hirsch, \\uc0\\u8216{}The Right to Refuse: The Victorian Mental Health Act 2014 and the Convention on the Rights of Persons with Disabilities\\uc0\\u8217{} (2017) 42(2) {\\i{}Alternative Law Journal} 149; Committee on the Rights of Persons with Disabilities, {\\i{}General Comment No. 1, Article 12: Equal Recognition before the Law,} (UN Doc. CRPD/C/GC/1 (19 May 2014)).","plainCitation":"Chris Maylea and Asher Hirsch, ‘The Right to Refuse: The Victorian Mental Health Act 2014 and the Convention on the Rights of Persons with Disabilities’ (2017) 42(2) Alternative Law Journal 149; Committee on the Rights of Persons with Disabilities, General Comment No. 1, Article 12: Equal Recognition before the Law, (UN Doc. CRPD/C/GC/1 (19 May 2014)).","dontUpdate":true,"noteIndex":134},"citationItems":[{"id":114,"uris":["http://zotero.org/users/local/OLPofQUL/items/KR28Y2LJ"],"itemData":{"id":114,"type":"article-journal","container-title":"Alternative Law Journal","issue":"2","note":"ISBN: 1037-969X\npublisher: SAGE Publications Sage UK: London, England","page":"149-155","title":"The right to refuse: The Victorian mental health act 2014 and the convention on the rights of persons with disabilities","volume":"42","author":[{"family":"Maylea","given":"Chris"},{"family":"Hirsch","given":"Asher"}],"issued":{"date-parts":[["2017"]]}}},{"id":287,"uris":["http://zotero.org/users/local/OLPofQUL/items/HHXT8P7Q"],"itemData":{"id":287,"type":"book","publisher":"UN Doc. CRPD/C/GC/1 (19 May 2014)","title":"General Comment No. 1, Article 12: Equal Recognition before the Law,","author":[{"family":"Committee on the Rights of Persons with Disabilities","given":""}]}}],"schema":"https://github.com/citation-style-language/schema/raw/master/csl-citation.json"} </w:instrText>
      </w:r>
      <w:r w:rsidRPr="00030932">
        <w:rPr>
          <w:rFonts w:cstheme="minorHAnsi"/>
          <w:sz w:val="16"/>
          <w:szCs w:val="16"/>
        </w:rPr>
        <w:fldChar w:fldCharType="separate"/>
      </w:r>
      <w:r w:rsidR="0009443A" w:rsidRPr="00030932">
        <w:rPr>
          <w:rFonts w:cstheme="minorHAnsi"/>
          <w:sz w:val="16"/>
          <w:szCs w:val="16"/>
        </w:rPr>
        <w:t xml:space="preserve">Chris Maylea and Asher Hirsch, ‘The Right to Refuse: The Victorian Mental Health Act 2014 and the Convention on the Rights of Persons with Disabilities’ (2017) 42(2) </w:t>
      </w:r>
      <w:r w:rsidR="0009443A" w:rsidRPr="00030932">
        <w:rPr>
          <w:rFonts w:cstheme="minorHAnsi"/>
          <w:i/>
          <w:sz w:val="16"/>
          <w:szCs w:val="16"/>
        </w:rPr>
        <w:t>Alternative Law Journal</w:t>
      </w:r>
      <w:r w:rsidR="0009443A" w:rsidRPr="00030932">
        <w:rPr>
          <w:rFonts w:cstheme="minorHAnsi"/>
          <w:sz w:val="16"/>
          <w:szCs w:val="16"/>
        </w:rPr>
        <w:t xml:space="preserve"> 149; Committee on the Rights of Persons with Disabilities, </w:t>
      </w:r>
      <w:r w:rsidR="0009443A" w:rsidRPr="00030932">
        <w:rPr>
          <w:rFonts w:cstheme="minorHAnsi"/>
          <w:i/>
          <w:sz w:val="16"/>
          <w:szCs w:val="16"/>
        </w:rPr>
        <w:t>General Comment No. 1, Article 12: Equal Recognition before the Law,</w:t>
      </w:r>
      <w:r w:rsidR="0009443A" w:rsidRPr="00030932">
        <w:rPr>
          <w:rFonts w:cstheme="minorHAnsi"/>
          <w:sz w:val="16"/>
          <w:szCs w:val="16"/>
        </w:rPr>
        <w:t xml:space="preserve"> UN Doc. CRPD/C/GC/1 (19 May 2014).</w:t>
      </w:r>
      <w:r w:rsidRPr="00030932">
        <w:rPr>
          <w:rFonts w:cstheme="minorHAnsi"/>
          <w:sz w:val="16"/>
          <w:szCs w:val="16"/>
        </w:rPr>
        <w:fldChar w:fldCharType="end"/>
      </w:r>
    </w:p>
  </w:footnote>
  <w:footnote w:id="45">
    <w:p w14:paraId="47CDFC4E" w14:textId="07E7D569" w:rsidR="006121F3" w:rsidRPr="00030932" w:rsidRDefault="006121F3">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Victoria, </w:t>
      </w:r>
      <w:r w:rsidRPr="00030932">
        <w:rPr>
          <w:rFonts w:cstheme="minorHAnsi"/>
          <w:i/>
          <w:iCs/>
          <w:sz w:val="16"/>
          <w:szCs w:val="16"/>
        </w:rPr>
        <w:t xml:space="preserve">Parliamentary </w:t>
      </w:r>
      <w:r w:rsidRPr="00030932">
        <w:rPr>
          <w:rFonts w:cstheme="minorHAnsi"/>
          <w:sz w:val="16"/>
          <w:szCs w:val="16"/>
        </w:rPr>
        <w:t xml:space="preserve">Debates, Legislative Assembly (Statement of Compatibility) </w:t>
      </w:r>
      <w:r w:rsidR="00C72986" w:rsidRPr="00030932">
        <w:rPr>
          <w:rFonts w:cstheme="minorHAnsi"/>
          <w:sz w:val="16"/>
          <w:szCs w:val="16"/>
        </w:rPr>
        <w:t>23 June 2022</w:t>
      </w:r>
      <w:r w:rsidRPr="00030932">
        <w:rPr>
          <w:rFonts w:cstheme="minorHAnsi"/>
          <w:sz w:val="16"/>
          <w:szCs w:val="16"/>
        </w:rPr>
        <w:t>,</w:t>
      </w:r>
      <w:r w:rsidR="00C72986" w:rsidRPr="00030932">
        <w:rPr>
          <w:rFonts w:cstheme="minorHAnsi"/>
          <w:sz w:val="16"/>
          <w:szCs w:val="16"/>
        </w:rPr>
        <w:t xml:space="preserve"> </w:t>
      </w:r>
      <w:r w:rsidR="008F497D" w:rsidRPr="00030932">
        <w:rPr>
          <w:rFonts w:cstheme="minorHAnsi"/>
          <w:sz w:val="16"/>
          <w:szCs w:val="16"/>
        </w:rPr>
        <w:t>2654-2655.</w:t>
      </w:r>
      <w:r w:rsidRPr="00030932">
        <w:rPr>
          <w:rFonts w:cstheme="minorHAnsi"/>
          <w:sz w:val="16"/>
          <w:szCs w:val="16"/>
        </w:rPr>
        <w:t xml:space="preserve"> </w:t>
      </w:r>
    </w:p>
  </w:footnote>
  <w:footnote w:id="46">
    <w:p w14:paraId="4B4533F4" w14:textId="6C249C01" w:rsidR="00254D1A" w:rsidRPr="00030932" w:rsidRDefault="00254D1A">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00743086" w:rsidRPr="00030932">
        <w:rPr>
          <w:rFonts w:cstheme="minorHAnsi"/>
          <w:i/>
          <w:iCs/>
          <w:sz w:val="16"/>
          <w:szCs w:val="16"/>
        </w:rPr>
        <w:t xml:space="preserve">MH6 v Mental Health Review Board </w:t>
      </w:r>
      <w:r w:rsidR="000B168F" w:rsidRPr="00030932">
        <w:rPr>
          <w:rFonts w:cstheme="minorHAnsi"/>
          <w:sz w:val="16"/>
          <w:szCs w:val="16"/>
        </w:rPr>
        <w:t xml:space="preserve">[2008] VCAT 846 at </w:t>
      </w:r>
      <w:r w:rsidR="001A0FD1" w:rsidRPr="00030932">
        <w:rPr>
          <w:rFonts w:cstheme="minorHAnsi"/>
          <w:sz w:val="16"/>
          <w:szCs w:val="16"/>
        </w:rPr>
        <w:t>[</w:t>
      </w:r>
      <w:r w:rsidR="001E40BB" w:rsidRPr="00030932">
        <w:rPr>
          <w:rFonts w:cstheme="minorHAnsi"/>
          <w:sz w:val="16"/>
          <w:szCs w:val="16"/>
        </w:rPr>
        <w:t>66</w:t>
      </w:r>
      <w:r w:rsidR="001A0FD1" w:rsidRPr="00030932">
        <w:rPr>
          <w:rFonts w:cstheme="minorHAnsi"/>
          <w:sz w:val="16"/>
          <w:szCs w:val="16"/>
        </w:rPr>
        <w:t>]</w:t>
      </w:r>
      <w:r w:rsidR="00FE0FD3" w:rsidRPr="00030932">
        <w:rPr>
          <w:rFonts w:cstheme="minorHAnsi"/>
          <w:sz w:val="16"/>
          <w:szCs w:val="16"/>
        </w:rPr>
        <w:t xml:space="preserve"> – </w:t>
      </w:r>
      <w:r w:rsidR="001A0FD1" w:rsidRPr="00030932">
        <w:rPr>
          <w:rFonts w:cstheme="minorHAnsi"/>
          <w:sz w:val="16"/>
          <w:szCs w:val="16"/>
        </w:rPr>
        <w:t>[</w:t>
      </w:r>
      <w:r w:rsidR="001E40BB" w:rsidRPr="00030932">
        <w:rPr>
          <w:rFonts w:cstheme="minorHAnsi"/>
          <w:sz w:val="16"/>
          <w:szCs w:val="16"/>
        </w:rPr>
        <w:t>72</w:t>
      </w:r>
      <w:r w:rsidR="001A0FD1" w:rsidRPr="00030932">
        <w:rPr>
          <w:rFonts w:cstheme="minorHAnsi"/>
          <w:sz w:val="16"/>
          <w:szCs w:val="16"/>
        </w:rPr>
        <w:t>]</w:t>
      </w:r>
      <w:r w:rsidR="001E40BB" w:rsidRPr="00030932">
        <w:rPr>
          <w:rFonts w:cstheme="minorHAnsi"/>
          <w:sz w:val="16"/>
          <w:szCs w:val="16"/>
        </w:rPr>
        <w:t xml:space="preserve">; </w:t>
      </w:r>
      <w:r w:rsidR="001E40BB" w:rsidRPr="00030932">
        <w:rPr>
          <w:rFonts w:cstheme="minorHAnsi"/>
          <w:i/>
          <w:iCs/>
          <w:sz w:val="16"/>
          <w:szCs w:val="16"/>
        </w:rPr>
        <w:t xml:space="preserve">M10 v Mental Health Review Board </w:t>
      </w:r>
      <w:r w:rsidR="001E40BB" w:rsidRPr="00030932">
        <w:rPr>
          <w:rFonts w:cstheme="minorHAnsi"/>
          <w:sz w:val="16"/>
          <w:szCs w:val="16"/>
        </w:rPr>
        <w:t xml:space="preserve">[2009] </w:t>
      </w:r>
      <w:r w:rsidR="004D3582" w:rsidRPr="00030932">
        <w:rPr>
          <w:rFonts w:cstheme="minorHAnsi"/>
          <w:sz w:val="16"/>
          <w:szCs w:val="16"/>
        </w:rPr>
        <w:t>VCAT 1919 [18]</w:t>
      </w:r>
      <w:r w:rsidR="00FE0FD3" w:rsidRPr="00030932">
        <w:rPr>
          <w:rFonts w:cstheme="minorHAnsi"/>
          <w:sz w:val="16"/>
          <w:szCs w:val="16"/>
        </w:rPr>
        <w:t>–</w:t>
      </w:r>
      <w:r w:rsidR="004D3582" w:rsidRPr="00030932">
        <w:rPr>
          <w:rFonts w:cstheme="minorHAnsi"/>
          <w:sz w:val="16"/>
          <w:szCs w:val="16"/>
        </w:rPr>
        <w:t>[21].</w:t>
      </w:r>
    </w:p>
  </w:footnote>
  <w:footnote w:id="47">
    <w:p w14:paraId="050005DA" w14:textId="0485E3B4" w:rsidR="00CC6C4D" w:rsidRPr="00030932" w:rsidRDefault="00CC6C4D">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rPr>
        <w:t>International Covenant on Civil and Political Rights</w:t>
      </w:r>
      <w:r w:rsidRPr="00030932">
        <w:rPr>
          <w:rFonts w:cstheme="minorHAnsi"/>
          <w:sz w:val="16"/>
          <w:szCs w:val="16"/>
        </w:rPr>
        <w:t>, opened for signature 19 December 1966, 999 UNTS 171 (entered into force 23 March 1976) (ICCPR).</w:t>
      </w:r>
    </w:p>
  </w:footnote>
  <w:footnote w:id="48">
    <w:p w14:paraId="677FEFE6" w14:textId="3A9C5A07" w:rsidR="00525C66" w:rsidRPr="00030932" w:rsidRDefault="00525C66">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0090725C" w:rsidRPr="00030932">
        <w:rPr>
          <w:rFonts w:cstheme="minorHAnsi"/>
          <w:sz w:val="16"/>
          <w:szCs w:val="16"/>
        </w:rPr>
        <w:fldChar w:fldCharType="begin"/>
      </w:r>
      <w:r w:rsidR="00E33440" w:rsidRPr="00030932">
        <w:rPr>
          <w:rFonts w:cstheme="minorHAnsi"/>
          <w:sz w:val="16"/>
          <w:szCs w:val="16"/>
        </w:rPr>
        <w:instrText xml:space="preserve"> ADDIN ZOTERO_ITEM CSL_CITATION {"citationID":"dAH9nEXH","properties":{"formattedCitation":"Julie Debeljak, \\uc0\\u8216{}Balancing Rights in a Democracy: The Problems with Limitations and Overrides of Rights under the Victorian Charter of Human Rights and Responsibilities Act 2006.\\uc0\\u8217{} (2008) 32(2) {\\i{}Melbourne University Law Review} 422, 434.","plainCitation":"Julie Debeljak, ‘Balancing Rights in a Democracy: The Problems with Limitations and Overrides of Rights under the Victorian Charter of Human Rights and Responsibilities Act 2006.’ (2008) 32(2) Melbourne University Law Review 422, 434.","noteIndex":136},"citationItems":[{"id":1623,"uris":["http://zotero.org/users/local/OLPofQUL/items/839X9SAL"],"itemData":{"id":1623,"type":"article-journal","container-title":"Melbourne University Law Review","issue":"2","note":"ISBN: 0025-8938","page":"422-469","title":"Balancing rights in a democracy: the problems with limitations and overrides of rights under the Victorian Charter of Human Rights and Responsibilities Act 2006.","volume":"32","author":[{"family":"Debeljak","given":"Julie"}],"issued":{"date-parts":[["2008"]]}},"locator":"434","label":"page"}],"schema":"https://github.com/citation-style-language/schema/raw/master/csl-citation.json"} </w:instrText>
      </w:r>
      <w:r w:rsidR="0090725C" w:rsidRPr="00030932">
        <w:rPr>
          <w:rFonts w:cstheme="minorHAnsi"/>
          <w:sz w:val="16"/>
          <w:szCs w:val="16"/>
        </w:rPr>
        <w:fldChar w:fldCharType="separate"/>
      </w:r>
      <w:r w:rsidR="0090725C" w:rsidRPr="00030932">
        <w:rPr>
          <w:rFonts w:cstheme="minorHAnsi"/>
          <w:sz w:val="16"/>
          <w:szCs w:val="16"/>
        </w:rPr>
        <w:t xml:space="preserve">Julie Debeljak, ‘Balancing Rights in a Democracy: The Problems with Limitations and Overrides of Rights under the Victorian Charter of Human Rights and Responsibilities Act 2006.’ (2008) 32(2) </w:t>
      </w:r>
      <w:r w:rsidR="0090725C" w:rsidRPr="00030932">
        <w:rPr>
          <w:rFonts w:cstheme="minorHAnsi"/>
          <w:i/>
          <w:iCs/>
          <w:sz w:val="16"/>
          <w:szCs w:val="16"/>
        </w:rPr>
        <w:t>Melbourne University Law Review</w:t>
      </w:r>
      <w:r w:rsidR="0090725C" w:rsidRPr="00030932">
        <w:rPr>
          <w:rFonts w:cstheme="minorHAnsi"/>
          <w:sz w:val="16"/>
          <w:szCs w:val="16"/>
        </w:rPr>
        <w:t xml:space="preserve"> 422, 434.</w:t>
      </w:r>
      <w:r w:rsidR="0090725C" w:rsidRPr="00030932">
        <w:rPr>
          <w:rFonts w:cstheme="minorHAnsi"/>
          <w:sz w:val="16"/>
          <w:szCs w:val="16"/>
        </w:rPr>
        <w:fldChar w:fldCharType="end"/>
      </w:r>
    </w:p>
  </w:footnote>
  <w:footnote w:id="49">
    <w:p w14:paraId="3FA3B7A6" w14:textId="77777777" w:rsidR="001C338F" w:rsidRPr="000F2481" w:rsidRDefault="001C338F" w:rsidP="001C338F">
      <w:pPr>
        <w:pStyle w:val="FootnoteText"/>
        <w:rPr>
          <w:rFonts w:cstheme="minorHAnsi"/>
          <w:color w:val="FFFFFF" w:themeColor="background1"/>
          <w:sz w:val="16"/>
          <w:szCs w:val="16"/>
        </w:rPr>
      </w:pPr>
      <w:r w:rsidRPr="00846071">
        <w:rPr>
          <w:rStyle w:val="FootnoteReference"/>
          <w:color w:val="FFFFFF" w:themeColor="background1"/>
          <w:sz w:val="16"/>
          <w:szCs w:val="16"/>
        </w:rPr>
        <w:footnoteRef/>
      </w:r>
      <w:r w:rsidRPr="002A25DD">
        <w:rPr>
          <w:rFonts w:cstheme="minorHAnsi"/>
          <w:color w:val="FFFFFF" w:themeColor="background1"/>
          <w:sz w:val="16"/>
          <w:szCs w:val="16"/>
        </w:rPr>
        <w:t xml:space="preserve"> </w:t>
      </w:r>
      <w:r w:rsidRPr="000F2481">
        <w:rPr>
          <w:rFonts w:cstheme="minorHAnsi"/>
          <w:color w:val="FFFFFF" w:themeColor="background1"/>
          <w:sz w:val="16"/>
          <w:szCs w:val="16"/>
        </w:rPr>
        <w:fldChar w:fldCharType="begin"/>
      </w:r>
      <w:r w:rsidRPr="000F2481">
        <w:rPr>
          <w:rFonts w:cstheme="minorHAnsi"/>
          <w:color w:val="FFFFFF" w:themeColor="background1"/>
          <w:sz w:val="16"/>
          <w:szCs w:val="16"/>
        </w:rPr>
        <w:instrText xml:space="preserve"> ADDIN ZOTERO_ITEM CSL_CITATION {"citationID":"9WmvvJ56","properties":{"formattedCitation":"John Dawson, \\uc0\\u8216{}A Realistic Approach to Assessing Mental Health Laws\\uc0\\u8217{} Compliance with the UNCRPD\\uc0\\u8217{} (2015) 40 {\\i{}International Journal of Law and Psychiatry} 70; George Szmukler, \\uc0\\u8216{}Involuntary Detention and Treatment: Are We Edging Toward a \\uc0\\u8220{}Paradigm Shift\\uc0\\u8221{}?\\uc0\\u8217{} (2020) 46(2) {\\i{}Schizophrenia bulletin} 231.","plainCitation":"John Dawson, ‘A Realistic Approach to Assessing Mental Health Laws’ Compliance with the UNCRPD’ (2015) 40 International Journal of Law and Psychiatry 70; George Szmukler, ‘Involuntary Detention and Treatment: Are We Edging Toward a “Paradigm Shift”?’ (2020) 46(2) Schizophrenia bulletin 231.","dontUpdate":true,"noteIndex":193},"citationItems":[{"id":285,"uris":["http://zotero.org/users/local/OLPofQUL/items/Y74HE42B"],"itemData":{"id":285,"type":"article-journal","container-title":"International Journal of Law and Psychiatry","note":"ISBN: 0160-2527\npublisher: Elsevier","page":"70-79","title":"A realistic approach to assessing mental health laws' compliance with the UNCRPD","volume":"40","author":[{"family":"Dawson","given":"John"}],"issued":{"date-parts":[["2015"]]}}},{"id":281,"uris":["http://zotero.org/users/local/OLPofQUL/items/IY2PJ7CU"],"itemData":{"id":281,"type":"article-journal","container-title":"Schizophrenia bulletin","issue":"2","note":"ISBN: 0586-7614\npublisher: Oxford University Press US","page":"231-235","title":"Involuntary Detention and Treatment: Are We Edging Toward a “Paradigm Shift”?","volume":"46","author":[{"family":"Szmukler","given":"George"}],"issued":{"date-parts":[["2020"]]}}}],"schema":"https://github.com/citation-style-language/schema/raw/master/csl-citation.json"} </w:instrText>
      </w:r>
      <w:r w:rsidRPr="000F2481">
        <w:rPr>
          <w:rFonts w:cstheme="minorHAnsi"/>
          <w:color w:val="FFFFFF" w:themeColor="background1"/>
          <w:sz w:val="16"/>
          <w:szCs w:val="16"/>
        </w:rPr>
        <w:fldChar w:fldCharType="separate"/>
      </w:r>
      <w:r w:rsidRPr="000F2481">
        <w:rPr>
          <w:rFonts w:cstheme="minorHAnsi"/>
          <w:color w:val="FFFFFF" w:themeColor="background1"/>
          <w:sz w:val="16"/>
          <w:szCs w:val="16"/>
        </w:rPr>
        <w:t>John Dawson, ‘A Realistic Approach to Assessing Mental Health Laws’ Compliance with the UNCRPD’ (2015) 40 International Journal of Law and Psychiatry 70; George Szmukler, ‘Involuntary Detention and Treatment: Are We Edging Toward a “Paradigm Shift”?’ (2020) 46(2) Schizophrenia Bulletin 231.</w:t>
      </w:r>
      <w:r w:rsidRPr="000F2481">
        <w:rPr>
          <w:rFonts w:cstheme="minorHAnsi"/>
          <w:color w:val="FFFFFF" w:themeColor="background1"/>
          <w:sz w:val="16"/>
          <w:szCs w:val="16"/>
        </w:rPr>
        <w:fldChar w:fldCharType="end"/>
      </w:r>
    </w:p>
  </w:footnote>
  <w:footnote w:id="50">
    <w:p w14:paraId="06C92ACF" w14:textId="77777777" w:rsidR="001C338F" w:rsidRPr="000F2481" w:rsidRDefault="001C338F" w:rsidP="001C338F">
      <w:pPr>
        <w:pStyle w:val="FootnoteText"/>
        <w:rPr>
          <w:rFonts w:cstheme="minorHAnsi"/>
          <w:color w:val="FFFFFF" w:themeColor="background1"/>
          <w:sz w:val="16"/>
          <w:szCs w:val="16"/>
        </w:rPr>
      </w:pPr>
      <w:r w:rsidRPr="000F2481">
        <w:rPr>
          <w:rStyle w:val="FootnoteReference"/>
          <w:color w:val="FFFFFF" w:themeColor="background1"/>
          <w:sz w:val="16"/>
          <w:szCs w:val="16"/>
        </w:rPr>
        <w:footnoteRef/>
      </w:r>
      <w:r w:rsidRPr="000F2481">
        <w:rPr>
          <w:rFonts w:cstheme="minorHAnsi"/>
          <w:color w:val="FFFFFF" w:themeColor="background1"/>
          <w:sz w:val="16"/>
          <w:szCs w:val="16"/>
        </w:rPr>
        <w:t xml:space="preserve"> </w:t>
      </w:r>
      <w:r w:rsidRPr="000F2481">
        <w:rPr>
          <w:rFonts w:cstheme="minorHAnsi"/>
          <w:color w:val="FFFFFF" w:themeColor="background1"/>
          <w:sz w:val="16"/>
          <w:szCs w:val="16"/>
        </w:rPr>
        <w:fldChar w:fldCharType="begin"/>
      </w:r>
      <w:r w:rsidRPr="000F2481">
        <w:rPr>
          <w:rFonts w:cstheme="minorHAnsi"/>
          <w:color w:val="FFFFFF" w:themeColor="background1"/>
          <w:sz w:val="16"/>
          <w:szCs w:val="16"/>
        </w:rPr>
        <w:instrText xml:space="preserve"> ADDIN ZOTERO_ITEM CSL_CITATION {"citationID":"NzwWeW2Q","properties":{"formattedCitation":"Maylea and Hirsch (n 65); Committee on the Rights of Persons with Disabilities (n 134) 1.","plainCitation":"Maylea and Hirsch (n 65); Committee on the Rights of Persons with Disabilities (n 134) 1.","noteIndex":196},"citationItems":[{"id":114,"uris":["http://zotero.org/users/local/OLPofQUL/items/KR28Y2LJ"],"itemData":{"id":114,"type":"article-journal","container-title":"Alternative Law Journal","issue":"2","note":"ISBN: 1037-969X\npublisher: SAGE Publications Sage UK: London, England","page":"149-155","title":"The right to refuse: The Victorian mental health act 2014 and the convention on the rights of persons with disabilities","volume":"42","author":[{"family":"Maylea","given":"Chris"},{"family":"Hirsch","given":"Asher"}],"issued":{"date-parts":[["2017"]]}}},{"id":287,"uris":["http://zotero.org/users/local/OLPofQUL/items/HHXT8P7Q"],"itemData":{"id":287,"type":"book","publisher":"UN Doc. CRPD/C/GC/1 (19 May 2014)","title":"General Comment No. 1, Article 12: Equal Recognition before the Law,","author":[{"family":"Committee on the Rights of Persons with Disabilities","given":""}]},"locator":"1"}],"schema":"https://github.com/citation-style-language/schema/raw/master/csl-citation.json"} </w:instrText>
      </w:r>
      <w:r w:rsidRPr="000F2481">
        <w:rPr>
          <w:rFonts w:cstheme="minorHAnsi"/>
          <w:color w:val="FFFFFF" w:themeColor="background1"/>
          <w:sz w:val="16"/>
          <w:szCs w:val="16"/>
        </w:rPr>
        <w:fldChar w:fldCharType="separate"/>
      </w:r>
      <w:r w:rsidRPr="000F2481">
        <w:rPr>
          <w:rFonts w:ascii="Calibri" w:hAnsi="Calibri" w:cs="Calibri"/>
          <w:color w:val="FFFFFF" w:themeColor="background1"/>
          <w:sz w:val="16"/>
        </w:rPr>
        <w:t>Maylea and Hirsch (n 65); Committee on the Rights of Persons with Disabilities (n 134) 1.</w:t>
      </w:r>
      <w:r w:rsidRPr="000F2481">
        <w:rPr>
          <w:rFonts w:cstheme="minorHAnsi"/>
          <w:color w:val="FFFFFF" w:themeColor="background1"/>
          <w:sz w:val="16"/>
          <w:szCs w:val="16"/>
        </w:rPr>
        <w:fldChar w:fldCharType="end"/>
      </w:r>
    </w:p>
  </w:footnote>
  <w:footnote w:id="51">
    <w:p w14:paraId="6E7BEFF5" w14:textId="77777777" w:rsidR="001C338F" w:rsidRPr="00030932" w:rsidRDefault="001C338F" w:rsidP="001C338F">
      <w:pPr>
        <w:rPr>
          <w:rFonts w:cstheme="minorHAnsi"/>
          <w:sz w:val="16"/>
          <w:szCs w:val="16"/>
        </w:rPr>
      </w:pPr>
      <w:r w:rsidRPr="000F2481">
        <w:rPr>
          <w:rStyle w:val="FootnoteReference"/>
          <w:color w:val="FFFFFF" w:themeColor="background1"/>
          <w:sz w:val="16"/>
          <w:szCs w:val="16"/>
        </w:rPr>
        <w:footnoteRef/>
      </w:r>
      <w:bookmarkStart w:id="0" w:name="_ftn13"/>
      <w:r w:rsidRPr="000F2481">
        <w:rPr>
          <w:rFonts w:cstheme="minorHAnsi"/>
          <w:color w:val="FFFFFF" w:themeColor="background1"/>
          <w:sz w:val="16"/>
          <w:szCs w:val="16"/>
        </w:rPr>
        <w:fldChar w:fldCharType="begin"/>
      </w:r>
      <w:r w:rsidRPr="000F2481">
        <w:rPr>
          <w:rFonts w:cstheme="minorHAnsi"/>
          <w:color w:val="FFFFFF" w:themeColor="background1"/>
          <w:sz w:val="16"/>
          <w:szCs w:val="16"/>
        </w:rPr>
        <w:instrText xml:space="preserve"> HYPERLINK "https://www.alrc.gov.au/publication/equality-capacity-and-disability-in-commonwealth-laws-ip-44/equality-capacity-and-disability-in-commonwealth-laws/legislative-and-regulatory-framework/" \l "_ftnref13" \o "" </w:instrText>
      </w:r>
      <w:r w:rsidRPr="000F2481">
        <w:rPr>
          <w:rFonts w:cstheme="minorHAnsi"/>
          <w:color w:val="FFFFFF" w:themeColor="background1"/>
          <w:sz w:val="16"/>
          <w:szCs w:val="16"/>
        </w:rPr>
      </w:r>
      <w:r w:rsidRPr="000F2481">
        <w:rPr>
          <w:rFonts w:cstheme="minorHAnsi"/>
          <w:color w:val="FFFFFF" w:themeColor="background1"/>
          <w:sz w:val="16"/>
          <w:szCs w:val="16"/>
        </w:rPr>
        <w:fldChar w:fldCharType="separate"/>
      </w:r>
      <w:r w:rsidRPr="000F2481">
        <w:rPr>
          <w:rFonts w:cstheme="minorHAnsi"/>
          <w:color w:val="FFFFFF" w:themeColor="background1"/>
          <w:sz w:val="16"/>
          <w:szCs w:val="16"/>
        </w:rPr>
        <w:t> Convention on the Rights of Persons with Disabilities: Declarations and Reservations (Australia), opened for signature 30 March 2007, 999 UNTS 3 (entered into force 3 May 2008).</w:t>
      </w:r>
      <w:r w:rsidRPr="000F2481">
        <w:rPr>
          <w:rFonts w:cstheme="minorHAnsi"/>
          <w:color w:val="FFFFFF" w:themeColor="background1"/>
          <w:sz w:val="16"/>
          <w:szCs w:val="16"/>
        </w:rPr>
        <w:fldChar w:fldCharType="end"/>
      </w:r>
      <w:bookmarkEnd w:id="0"/>
    </w:p>
  </w:footnote>
  <w:footnote w:id="52">
    <w:p w14:paraId="6697D181" w14:textId="2693E048" w:rsidR="00583647" w:rsidRPr="00030932" w:rsidRDefault="00583647">
      <w:pPr>
        <w:pStyle w:val="FootnoteText"/>
        <w:rPr>
          <w:rFonts w:cstheme="minorHAnsi"/>
          <w:sz w:val="16"/>
          <w:szCs w:val="16"/>
          <w:lang w:val="en-US"/>
        </w:rPr>
      </w:pPr>
      <w:r w:rsidRPr="00030932">
        <w:rPr>
          <w:rStyle w:val="FootnoteReference"/>
          <w:sz w:val="16"/>
          <w:szCs w:val="16"/>
        </w:rPr>
        <w:footnoteRef/>
      </w:r>
      <w:r w:rsidR="00CD775B" w:rsidRPr="00030932">
        <w:rPr>
          <w:rFonts w:cstheme="minorHAnsi"/>
          <w:sz w:val="16"/>
          <w:szCs w:val="16"/>
        </w:rPr>
        <w:t xml:space="preserve"> This definition was provided in Article 1 of the </w:t>
      </w:r>
      <w:r w:rsidR="00CD775B" w:rsidRPr="00030932">
        <w:rPr>
          <w:rFonts w:cstheme="minorHAnsi"/>
          <w:i/>
          <w:iCs/>
          <w:sz w:val="16"/>
          <w:szCs w:val="16"/>
        </w:rPr>
        <w:t xml:space="preserve">Slavery Convention 1926 </w:t>
      </w:r>
      <w:r w:rsidR="00CD775B" w:rsidRPr="00030932">
        <w:rPr>
          <w:rFonts w:cstheme="minorHAnsi"/>
          <w:sz w:val="16"/>
          <w:szCs w:val="16"/>
        </w:rPr>
        <w:t>from the Leag</w:t>
      </w:r>
      <w:r w:rsidR="00B36080" w:rsidRPr="00030932">
        <w:rPr>
          <w:rFonts w:cstheme="minorHAnsi"/>
          <w:sz w:val="16"/>
          <w:szCs w:val="16"/>
        </w:rPr>
        <w:t>u</w:t>
      </w:r>
      <w:r w:rsidR="00CD775B" w:rsidRPr="00030932">
        <w:rPr>
          <w:rFonts w:cstheme="minorHAnsi"/>
          <w:sz w:val="16"/>
          <w:szCs w:val="16"/>
        </w:rPr>
        <w:t>e of Nations, an international body that preceded the creation of the United Nations.</w:t>
      </w:r>
    </w:p>
  </w:footnote>
  <w:footnote w:id="53">
    <w:p w14:paraId="1B6077D5" w14:textId="7FBADBB8" w:rsidR="004D28AF" w:rsidRPr="00030932" w:rsidRDefault="004D28AF">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lang w:val="en-US"/>
        </w:rPr>
        <w:t xml:space="preserve">R v Tang </w:t>
      </w:r>
      <w:r w:rsidRPr="00030932">
        <w:rPr>
          <w:rFonts w:cstheme="minorHAnsi"/>
          <w:sz w:val="16"/>
          <w:szCs w:val="16"/>
          <w:lang w:val="en-US"/>
        </w:rPr>
        <w:t>(2008) 237 1; [2008] HCA 39 from Gleeson CJ [</w:t>
      </w:r>
      <w:r w:rsidR="00373E69" w:rsidRPr="00030932">
        <w:rPr>
          <w:rFonts w:cstheme="minorHAnsi"/>
          <w:sz w:val="16"/>
          <w:szCs w:val="16"/>
          <w:lang w:val="en-US"/>
        </w:rPr>
        <w:t>32] and Kirby J [112].</w:t>
      </w:r>
    </w:p>
  </w:footnote>
  <w:footnote w:id="54">
    <w:p w14:paraId="1B2D2A18" w14:textId="10DF367E" w:rsidR="000F4098" w:rsidRPr="00030932" w:rsidRDefault="000F4098">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lang w:val="en-US"/>
        </w:rPr>
        <w:t>Siliad</w:t>
      </w:r>
      <w:r w:rsidR="007067EA" w:rsidRPr="00030932">
        <w:rPr>
          <w:rFonts w:cstheme="minorHAnsi"/>
          <w:i/>
          <w:iCs/>
          <w:sz w:val="16"/>
          <w:szCs w:val="16"/>
          <w:lang w:val="en-US"/>
        </w:rPr>
        <w:t>in</w:t>
      </w:r>
      <w:r w:rsidRPr="00030932">
        <w:rPr>
          <w:rFonts w:cstheme="minorHAnsi"/>
          <w:i/>
          <w:iCs/>
          <w:sz w:val="16"/>
          <w:szCs w:val="16"/>
          <w:lang w:val="en-US"/>
        </w:rPr>
        <w:t xml:space="preserve"> v France </w:t>
      </w:r>
      <w:r w:rsidRPr="00030932">
        <w:rPr>
          <w:rFonts w:cstheme="minorHAnsi"/>
          <w:sz w:val="16"/>
          <w:szCs w:val="16"/>
          <w:lang w:val="en-US"/>
        </w:rPr>
        <w:t>(2006) 43 EHHR 16; [2005] ECHR 525 at [124].</w:t>
      </w:r>
    </w:p>
  </w:footnote>
  <w:footnote w:id="55">
    <w:p w14:paraId="620D67C3" w14:textId="7BE2BD16" w:rsidR="0041076E" w:rsidRPr="00030932" w:rsidRDefault="0041076E">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1131D7" w:rsidRPr="00030932">
        <w:rPr>
          <w:rFonts w:cstheme="minorHAnsi"/>
          <w:sz w:val="16"/>
          <w:szCs w:val="16"/>
        </w:rPr>
        <w:instrText xml:space="preserve"> ADDIN ZOTERO_ITEM CSL_CITATION {"citationID":"oEpu6lE2","properties":{"formattedCitation":"For an interesting account of early asylums, see: Giese (n 2).","plainCitation":"For an interesting account of early asylums, see: Giese (n 2).","noteIndex":144},"citationItems":[{"id":22,"uris":["http://zotero.org/users/local/OLPofQUL/items/28ZPM67I"],"itemData":{"id":22,"type":"book","ISBN":"1-925588-95-5","publisher":"Australian Scholarly Publishing","title":"The Maddest Place on Earth","author":[{"family":"Giese","given":"Jill"}],"issued":{"date-parts":[["2018"]]}},"label":"page","prefix":"For an interesting account of early asylums, see:"}],"schema":"https://github.com/citation-style-language/schema/raw/master/csl-citation.json"} </w:instrText>
      </w:r>
      <w:r w:rsidRPr="00030932">
        <w:rPr>
          <w:rFonts w:cstheme="minorHAnsi"/>
          <w:sz w:val="16"/>
          <w:szCs w:val="16"/>
        </w:rPr>
        <w:fldChar w:fldCharType="separate"/>
      </w:r>
      <w:r w:rsidR="001131D7" w:rsidRPr="00030932">
        <w:rPr>
          <w:rFonts w:ascii="Calibri" w:hAnsi="Calibri" w:cs="Calibri"/>
          <w:sz w:val="16"/>
          <w:szCs w:val="16"/>
        </w:rPr>
        <w:t>For an interesting account of early asylums, see: Giese (n 2).</w:t>
      </w:r>
      <w:r w:rsidRPr="00030932">
        <w:rPr>
          <w:rFonts w:cstheme="minorHAnsi"/>
          <w:sz w:val="16"/>
          <w:szCs w:val="16"/>
        </w:rPr>
        <w:fldChar w:fldCharType="end"/>
      </w:r>
    </w:p>
  </w:footnote>
  <w:footnote w:id="56">
    <w:p w14:paraId="780814BE" w14:textId="67C1DC09" w:rsidR="00E37FC6" w:rsidRPr="00030932" w:rsidRDefault="00E37FC6">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lang w:val="en-US"/>
        </w:rPr>
        <w:t xml:space="preserve">It is worth noting that this is despite many provisions in the </w:t>
      </w:r>
      <w:r w:rsidRPr="00030932">
        <w:rPr>
          <w:rFonts w:cstheme="minorHAnsi"/>
          <w:i/>
          <w:iCs/>
          <w:sz w:val="16"/>
          <w:szCs w:val="16"/>
          <w:lang w:val="en-US"/>
        </w:rPr>
        <w:t xml:space="preserve">Migration Act 1958 </w:t>
      </w:r>
      <w:r w:rsidRPr="00030932">
        <w:rPr>
          <w:rFonts w:cstheme="minorHAnsi"/>
          <w:sz w:val="16"/>
          <w:szCs w:val="16"/>
          <w:lang w:val="en-US"/>
        </w:rPr>
        <w:t xml:space="preserve">(Cth) being incompatible with Australia’s obligations under the </w:t>
      </w:r>
      <w:r w:rsidR="00E710F1" w:rsidRPr="00030932">
        <w:rPr>
          <w:rFonts w:cstheme="minorHAnsi"/>
          <w:i/>
          <w:iCs/>
          <w:sz w:val="16"/>
          <w:szCs w:val="16"/>
          <w:lang w:val="en-US"/>
        </w:rPr>
        <w:t>Convention Relating to the Status of Refugees</w:t>
      </w:r>
      <w:r w:rsidR="00E710F1" w:rsidRPr="00030932">
        <w:rPr>
          <w:rFonts w:cstheme="minorHAnsi"/>
          <w:sz w:val="16"/>
          <w:szCs w:val="16"/>
          <w:lang w:val="en-US"/>
        </w:rPr>
        <w:t xml:space="preserve">: </w:t>
      </w:r>
      <w:r w:rsidR="00E710F1" w:rsidRPr="00030932">
        <w:rPr>
          <w:rFonts w:cstheme="minorHAnsi"/>
          <w:sz w:val="16"/>
          <w:szCs w:val="16"/>
          <w:lang w:val="en-US"/>
        </w:rPr>
        <w:fldChar w:fldCharType="begin"/>
      </w:r>
      <w:r w:rsidR="00E33440" w:rsidRPr="00030932">
        <w:rPr>
          <w:rFonts w:cstheme="minorHAnsi"/>
          <w:sz w:val="16"/>
          <w:szCs w:val="16"/>
          <w:lang w:val="en-US"/>
        </w:rPr>
        <w:instrText xml:space="preserve"> ADDIN ZOTERO_ITEM CSL_CITATION {"citationID":"4bY3JqbW","properties":{"formattedCitation":"Jane McAdam, {\\i{}Australia and Asylum Seekers}, vol 25 (Oxford University Press UK, 2013).","plainCitation":"Jane McAdam, Australia and Asylum Seekers, vol 25 (Oxford University Press UK, 2013).","noteIndex":144},"citationItems":[{"id":1947,"uris":["http://zotero.org/users/local/OLPofQUL/items/5GBQBENK"],"itemData":{"id":1947,"type":"book","ISBN":"1464-3715","note":"issue: 3\npage: 435-448\ncontainer-title: International Journal of Refugee Law","publisher":"Oxford University Press UK","title":"Australia and asylum seekers","volume":"25","author":[{"family":"McAdam","given":"Jane"}],"issued":{"date-parts":[["2013"]]}}}],"schema":"https://github.com/citation-style-language/schema/raw/master/csl-citation.json"} </w:instrText>
      </w:r>
      <w:r w:rsidR="00E710F1" w:rsidRPr="00030932">
        <w:rPr>
          <w:rFonts w:cstheme="minorHAnsi"/>
          <w:sz w:val="16"/>
          <w:szCs w:val="16"/>
          <w:lang w:val="en-US"/>
        </w:rPr>
        <w:fldChar w:fldCharType="separate"/>
      </w:r>
      <w:r w:rsidR="00E710F1" w:rsidRPr="00030932">
        <w:rPr>
          <w:rFonts w:cstheme="minorHAnsi"/>
          <w:sz w:val="16"/>
          <w:szCs w:val="16"/>
        </w:rPr>
        <w:t xml:space="preserve">Jane McAdam, </w:t>
      </w:r>
      <w:r w:rsidR="00E710F1" w:rsidRPr="00030932">
        <w:rPr>
          <w:rFonts w:cstheme="minorHAnsi"/>
          <w:i/>
          <w:iCs/>
          <w:sz w:val="16"/>
          <w:szCs w:val="16"/>
        </w:rPr>
        <w:t>Australia and Asylum Seekers</w:t>
      </w:r>
      <w:r w:rsidR="00E710F1" w:rsidRPr="00030932">
        <w:rPr>
          <w:rFonts w:cstheme="minorHAnsi"/>
          <w:sz w:val="16"/>
          <w:szCs w:val="16"/>
        </w:rPr>
        <w:t>, vol 25 (Oxford University Press UK, 2013).</w:t>
      </w:r>
      <w:r w:rsidR="00E710F1" w:rsidRPr="00030932">
        <w:rPr>
          <w:rFonts w:cstheme="minorHAnsi"/>
          <w:sz w:val="16"/>
          <w:szCs w:val="16"/>
          <w:lang w:val="en-US"/>
        </w:rPr>
        <w:fldChar w:fldCharType="end"/>
      </w:r>
    </w:p>
  </w:footnote>
  <w:footnote w:id="57">
    <w:p w14:paraId="6B0A64F7" w14:textId="77777777" w:rsidR="00E0447C" w:rsidRPr="00030932" w:rsidRDefault="00E0447C" w:rsidP="00E0447C">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lang w:val="en-US"/>
        </w:rPr>
        <w:t xml:space="preserve">Kracke v Mental Health Review Board </w:t>
      </w:r>
      <w:r w:rsidRPr="00030932">
        <w:rPr>
          <w:rFonts w:cstheme="minorHAnsi"/>
          <w:sz w:val="16"/>
          <w:szCs w:val="16"/>
          <w:lang w:val="en-US"/>
        </w:rPr>
        <w:t>(2009) 29 VAR 1; [2009] VCAT 646 at [583].</w:t>
      </w:r>
    </w:p>
  </w:footnote>
  <w:footnote w:id="58">
    <w:p w14:paraId="08D03B17" w14:textId="165EA196" w:rsidR="00E0447C" w:rsidRPr="00030932" w:rsidRDefault="00E0447C" w:rsidP="003A554B">
      <w:pPr>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lang w:val="en-US"/>
        </w:rPr>
        <w:t xml:space="preserve">Kracke v Mental Health Review Board </w:t>
      </w:r>
      <w:r w:rsidRPr="00030932">
        <w:rPr>
          <w:rFonts w:cstheme="minorHAnsi"/>
          <w:sz w:val="16"/>
          <w:szCs w:val="16"/>
          <w:lang w:val="en-US"/>
        </w:rPr>
        <w:t xml:space="preserve">(2009) 29 VAR 1; [2009] VCAT 646 at [588]; </w:t>
      </w:r>
      <w:r w:rsidRPr="00030932">
        <w:rPr>
          <w:rFonts w:cstheme="minorHAnsi"/>
          <w:i/>
          <w:iCs/>
          <w:sz w:val="16"/>
          <w:szCs w:val="16"/>
          <w:lang w:val="en-US"/>
        </w:rPr>
        <w:t xml:space="preserve">Antunovich v Dawson </w:t>
      </w:r>
      <w:r w:rsidRPr="00030932">
        <w:rPr>
          <w:rFonts w:cstheme="minorHAnsi"/>
          <w:sz w:val="16"/>
          <w:szCs w:val="16"/>
          <w:lang w:val="en-US"/>
        </w:rPr>
        <w:t>(2010) 30 VR 355; [2010] VSC 377 at [72].</w:t>
      </w:r>
      <w:r w:rsidR="00801931" w:rsidRPr="00030932">
        <w:rPr>
          <w:rFonts w:cstheme="minorHAnsi"/>
          <w:sz w:val="16"/>
          <w:szCs w:val="16"/>
          <w:lang w:val="en-US"/>
        </w:rPr>
        <w:t xml:space="preserve"> This right was also engaged where a man was detained on a supervised treatment order under the </w:t>
      </w:r>
      <w:r w:rsidR="00801931" w:rsidRPr="00030932">
        <w:rPr>
          <w:rFonts w:cstheme="minorHAnsi"/>
          <w:i/>
          <w:iCs/>
          <w:sz w:val="16"/>
          <w:szCs w:val="16"/>
          <w:lang w:val="en-US"/>
        </w:rPr>
        <w:t xml:space="preserve">Disability Act 2006 </w:t>
      </w:r>
      <w:r w:rsidR="00801931" w:rsidRPr="00030932">
        <w:rPr>
          <w:rFonts w:cstheme="minorHAnsi"/>
          <w:sz w:val="16"/>
          <w:szCs w:val="16"/>
          <w:lang w:val="en-US"/>
        </w:rPr>
        <w:t>(Vic)</w:t>
      </w:r>
      <w:r w:rsidR="00955BDC" w:rsidRPr="00030932">
        <w:rPr>
          <w:rFonts w:cstheme="minorHAnsi"/>
          <w:sz w:val="16"/>
          <w:szCs w:val="16"/>
          <w:lang w:val="en-US"/>
        </w:rPr>
        <w:t xml:space="preserve"> and had restrictions </w:t>
      </w:r>
      <w:r w:rsidR="002A30B5" w:rsidRPr="00030932">
        <w:rPr>
          <w:rFonts w:cstheme="minorHAnsi"/>
          <w:sz w:val="16"/>
          <w:szCs w:val="16"/>
          <w:lang w:val="en-US"/>
        </w:rPr>
        <w:t>placed</w:t>
      </w:r>
      <w:r w:rsidR="00955BDC" w:rsidRPr="00030932">
        <w:rPr>
          <w:rFonts w:cstheme="minorHAnsi"/>
          <w:sz w:val="16"/>
          <w:szCs w:val="16"/>
          <w:lang w:val="en-US"/>
        </w:rPr>
        <w:t xml:space="preserve"> on his movements outside the </w:t>
      </w:r>
      <w:r w:rsidR="00955BDC" w:rsidRPr="002A7035">
        <w:rPr>
          <w:rFonts w:cstheme="minorHAnsi"/>
          <w:sz w:val="16"/>
          <w:szCs w:val="16"/>
          <w:lang w:val="en-US"/>
        </w:rPr>
        <w:t>facility (he had to have staff</w:t>
      </w:r>
      <w:r w:rsidR="002A7035" w:rsidRPr="002A7035">
        <w:rPr>
          <w:rFonts w:cstheme="minorHAnsi"/>
          <w:sz w:val="16"/>
          <w:szCs w:val="16"/>
          <w:lang w:val="en-US"/>
        </w:rPr>
        <w:t xml:space="preserve"> present because the service said there were</w:t>
      </w:r>
      <w:r w:rsidR="00955BDC" w:rsidRPr="002A7035">
        <w:rPr>
          <w:rFonts w:cstheme="minorHAnsi"/>
          <w:sz w:val="16"/>
          <w:szCs w:val="16"/>
          <w:lang w:val="en-US"/>
        </w:rPr>
        <w:t xml:space="preserve"> </w:t>
      </w:r>
      <w:r w:rsidR="00372721" w:rsidRPr="002A7035">
        <w:rPr>
          <w:rFonts w:cstheme="minorHAnsi"/>
          <w:sz w:val="16"/>
          <w:szCs w:val="16"/>
          <w:lang w:val="en-US"/>
        </w:rPr>
        <w:t xml:space="preserve">behaviours of concern: </w:t>
      </w:r>
      <w:r w:rsidR="00372721" w:rsidRPr="002A7035">
        <w:rPr>
          <w:rFonts w:cstheme="minorHAnsi"/>
          <w:i/>
          <w:iCs/>
          <w:sz w:val="16"/>
          <w:szCs w:val="16"/>
          <w:lang w:val="en-US"/>
        </w:rPr>
        <w:t xml:space="preserve">AC (Guardianship) </w:t>
      </w:r>
      <w:r w:rsidR="00372721" w:rsidRPr="002A7035">
        <w:rPr>
          <w:rFonts w:cstheme="minorHAnsi"/>
          <w:sz w:val="16"/>
          <w:szCs w:val="16"/>
          <w:lang w:val="en-US"/>
        </w:rPr>
        <w:t>[2009] VCAT 1186 (8 July 2009).</w:t>
      </w:r>
    </w:p>
  </w:footnote>
  <w:footnote w:id="59">
    <w:p w14:paraId="03612C8D" w14:textId="44C6002E" w:rsidR="008B3950" w:rsidRPr="00030932" w:rsidRDefault="008B3950">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00BA2F42" w:rsidRPr="00030932">
        <w:rPr>
          <w:rFonts w:cstheme="minorHAnsi"/>
          <w:sz w:val="16"/>
          <w:szCs w:val="16"/>
          <w:lang w:val="en-US"/>
        </w:rPr>
        <w:t xml:space="preserve">See: </w:t>
      </w:r>
      <w:r w:rsidR="00BA2F42" w:rsidRPr="00030932">
        <w:rPr>
          <w:rFonts w:cstheme="minorHAnsi"/>
          <w:i/>
          <w:iCs/>
          <w:sz w:val="16"/>
          <w:szCs w:val="16"/>
          <w:lang w:val="en-US"/>
        </w:rPr>
        <w:t xml:space="preserve">Mental Health Act 2014 </w:t>
      </w:r>
      <w:r w:rsidR="00BA2F42" w:rsidRPr="00030932">
        <w:rPr>
          <w:rFonts w:cstheme="minorHAnsi"/>
          <w:sz w:val="16"/>
          <w:szCs w:val="16"/>
          <w:lang w:val="en-US"/>
        </w:rPr>
        <w:t xml:space="preserve">(Vic) s 52(2); </w:t>
      </w:r>
      <w:r w:rsidR="00BA2F42" w:rsidRPr="00030932">
        <w:rPr>
          <w:rFonts w:cstheme="minorHAnsi"/>
          <w:i/>
          <w:iCs/>
          <w:sz w:val="16"/>
          <w:szCs w:val="16"/>
          <w:lang w:val="en-US"/>
        </w:rPr>
        <w:t xml:space="preserve">Mental Health and Wellbeing Act 2022 </w:t>
      </w:r>
      <w:r w:rsidR="00BA2F42" w:rsidRPr="00030932">
        <w:rPr>
          <w:rFonts w:cstheme="minorHAnsi"/>
          <w:sz w:val="16"/>
          <w:szCs w:val="16"/>
          <w:lang w:val="en-US"/>
        </w:rPr>
        <w:t>(Vic) s</w:t>
      </w:r>
      <w:r w:rsidR="00436D52" w:rsidRPr="00030932">
        <w:rPr>
          <w:rFonts w:cstheme="minorHAnsi"/>
          <w:sz w:val="16"/>
          <w:szCs w:val="16"/>
          <w:lang w:val="en-US"/>
        </w:rPr>
        <w:t xml:space="preserve"> 195(2).</w:t>
      </w:r>
    </w:p>
  </w:footnote>
  <w:footnote w:id="60">
    <w:p w14:paraId="04777B43" w14:textId="0641FE8F" w:rsidR="00E065B7" w:rsidRPr="00030932" w:rsidRDefault="00E065B7">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lang w:val="en-US"/>
        </w:rPr>
        <w:t xml:space="preserve">Kracke v Mental Health Review Board </w:t>
      </w:r>
      <w:r w:rsidRPr="00030932">
        <w:rPr>
          <w:rFonts w:cstheme="minorHAnsi"/>
          <w:sz w:val="16"/>
          <w:szCs w:val="16"/>
          <w:lang w:val="en-US"/>
        </w:rPr>
        <w:t xml:space="preserve">(2009) 29 VAR 1; [2009] VCAT 646 at </w:t>
      </w:r>
      <w:r w:rsidR="0063288B" w:rsidRPr="00030932">
        <w:rPr>
          <w:rFonts w:cstheme="minorHAnsi"/>
          <w:sz w:val="16"/>
          <w:szCs w:val="16"/>
          <w:lang w:val="en-US"/>
        </w:rPr>
        <w:t>[738].</w:t>
      </w:r>
    </w:p>
  </w:footnote>
  <w:footnote w:id="61">
    <w:p w14:paraId="54634C09" w14:textId="09B5B37D" w:rsidR="00610054" w:rsidRPr="00030932" w:rsidRDefault="00610054">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lang w:val="en-US"/>
        </w:rPr>
        <w:t xml:space="preserve">Kracke v Mental Health Review Board </w:t>
      </w:r>
      <w:r w:rsidRPr="00030932">
        <w:rPr>
          <w:rFonts w:cstheme="minorHAnsi"/>
          <w:sz w:val="16"/>
          <w:szCs w:val="16"/>
          <w:lang w:val="en-US"/>
        </w:rPr>
        <w:t>(2009) 29 VAR 1; [2009] VCAT 646</w:t>
      </w:r>
      <w:r w:rsidR="000A3F61" w:rsidRPr="00030932">
        <w:rPr>
          <w:rFonts w:cstheme="minorHAnsi"/>
          <w:sz w:val="16"/>
          <w:szCs w:val="16"/>
          <w:lang w:val="en-US"/>
        </w:rPr>
        <w:t xml:space="preserve"> </w:t>
      </w:r>
      <w:r w:rsidR="00BA65F3" w:rsidRPr="00030932">
        <w:rPr>
          <w:rFonts w:cstheme="minorHAnsi"/>
          <w:sz w:val="16"/>
          <w:szCs w:val="16"/>
          <w:lang w:val="en-US"/>
        </w:rPr>
        <w:t>at [782]</w:t>
      </w:r>
      <w:r w:rsidR="0021164A" w:rsidRPr="00030932">
        <w:rPr>
          <w:rFonts w:cstheme="minorHAnsi"/>
          <w:sz w:val="16"/>
          <w:szCs w:val="16"/>
          <w:lang w:val="en-US"/>
        </w:rPr>
        <w:t>–</w:t>
      </w:r>
      <w:r w:rsidR="00BA65F3" w:rsidRPr="00030932">
        <w:rPr>
          <w:rFonts w:cstheme="minorHAnsi"/>
          <w:sz w:val="16"/>
          <w:szCs w:val="16"/>
          <w:lang w:val="en-US"/>
        </w:rPr>
        <w:t>[784].</w:t>
      </w:r>
    </w:p>
  </w:footnote>
  <w:footnote w:id="62">
    <w:p w14:paraId="1FB7C3CB" w14:textId="36A68A8A" w:rsidR="002B1221" w:rsidRPr="00030932" w:rsidRDefault="002B1221">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E33440" w:rsidRPr="00030932">
        <w:rPr>
          <w:rFonts w:cstheme="minorHAnsi"/>
          <w:sz w:val="16"/>
          <w:szCs w:val="16"/>
        </w:rPr>
        <w:instrText xml:space="preserve"> ADDIN ZOTERO_ITEM CSL_CITATION {"citationID":"xp0Mz5aj","properties":{"formattedCitation":"Lisa Brophy, {\\i{}Witness Statement 4 April 2020 to the Royal Commission into Victoria\\uc0\\u8217{}s Mental Health System} (2020) &lt;http://rcvmhs.archive.royalcommission.vic.gov.au/Brophy_Lisa.pdf&gt;.","plainCitation":"Lisa Brophy, Witness Statement 4 April 2020 to the Royal Commission into Victoria’s Mental Health System (2020) &lt;http://rcvmhs.archive.royalcommission.vic.gov.au/Brophy_Lisa.pdf&gt;.","noteIndex":150},"citationItems":[{"id":1550,"uris":["http://zotero.org/users/local/OLPofQUL/items/34UMIPVI"],"itemData":{"id":1550,"type":"report","title":"Witness Statement 4 April 2020 to the Royal Commission into Victoria’s Mental Health System","URL":"http://rcvmhs.archive.royalcommission.vic.gov.au/Brophy_Lisa.pdf","author":[{"family":"Brophy","given":"Lisa"}],"issued":{"date-parts":[["2020"]]}}}],"schema":"https://github.com/citation-style-language/schema/raw/master/csl-citation.json"} </w:instrText>
      </w:r>
      <w:r w:rsidRPr="00030932">
        <w:rPr>
          <w:rFonts w:cstheme="minorHAnsi"/>
          <w:sz w:val="16"/>
          <w:szCs w:val="16"/>
        </w:rPr>
        <w:fldChar w:fldCharType="separate"/>
      </w:r>
      <w:r w:rsidR="004938B2" w:rsidRPr="00030932">
        <w:rPr>
          <w:rFonts w:cstheme="minorHAnsi"/>
          <w:sz w:val="16"/>
          <w:szCs w:val="16"/>
        </w:rPr>
        <w:t xml:space="preserve">Lisa Brophy, </w:t>
      </w:r>
      <w:r w:rsidR="004938B2" w:rsidRPr="00030932">
        <w:rPr>
          <w:rFonts w:cstheme="minorHAnsi"/>
          <w:i/>
          <w:iCs/>
          <w:sz w:val="16"/>
          <w:szCs w:val="16"/>
        </w:rPr>
        <w:t>Witness Statement 4 April 2020 to the Royal Commission into Victoria’s Mental Health System</w:t>
      </w:r>
      <w:r w:rsidR="004938B2" w:rsidRPr="00030932">
        <w:rPr>
          <w:rFonts w:cstheme="minorHAnsi"/>
          <w:sz w:val="16"/>
          <w:szCs w:val="16"/>
        </w:rPr>
        <w:t xml:space="preserve"> (2020) &lt;http://rcvmhs.archive.royalcommission.vic.gov.au/Brophy_Lisa.pdf&gt;.</w:t>
      </w:r>
      <w:r w:rsidRPr="00030932">
        <w:rPr>
          <w:rFonts w:cstheme="minorHAnsi"/>
          <w:sz w:val="16"/>
          <w:szCs w:val="16"/>
        </w:rPr>
        <w:fldChar w:fldCharType="end"/>
      </w:r>
      <w:r w:rsidR="003E695B" w:rsidRPr="00030932">
        <w:rPr>
          <w:rFonts w:cstheme="minorHAnsi"/>
          <w:sz w:val="16"/>
          <w:szCs w:val="16"/>
        </w:rPr>
        <w:t xml:space="preserve"> </w:t>
      </w:r>
      <w:r w:rsidR="003E695B" w:rsidRPr="00030932">
        <w:rPr>
          <w:rFonts w:cstheme="minorHAnsi"/>
          <w:sz w:val="16"/>
          <w:szCs w:val="16"/>
        </w:rPr>
        <w:fldChar w:fldCharType="begin"/>
      </w:r>
      <w:r w:rsidR="00E33440" w:rsidRPr="00030932">
        <w:rPr>
          <w:rFonts w:cstheme="minorHAnsi"/>
          <w:sz w:val="16"/>
          <w:szCs w:val="16"/>
        </w:rPr>
        <w:instrText xml:space="preserve"> ADDIN ZOTERO_ITEM CSL_CITATION {"citationID":"upl9JA3p","properties":{"formattedCitation":"Lisa Brophy, Christopher James Ryan and Penelope Weller, \\uc0\\u8216{}Community Treatment Orders: The Evidence and the Ethical Implications\\uc0\\u8217{} in {\\i{}Critical Perspectives on Coercive Interventions} (Routledge, 2018) 30.","plainCitation":"Lisa Brophy, Christopher James Ryan and Penelope Weller, ‘Community Treatment Orders: The Evidence and the Ethical Implications’ in Critical Perspectives on Coercive Interventions (Routledge, 2018) 30.","noteIndex":150},"citationItems":[{"id":1948,"uris":["http://zotero.org/users/local/OLPofQUL/items/KF3FYEU9"],"itemData":{"id":1948,"type":"chapter","container-title":"Critical perspectives on coercive interventions","ISBN":"1-315-15869-8","page":"30-43","publisher":"Routledge","title":"Community treatment orders: the evidence and the ethical implications","author":[{"family":"Brophy","given":"Lisa"},{"family":"Ryan","given":"Christopher James"},{"family":"Weller","given":"Penelope"}],"issued":{"date-parts":[["2018"]]}}}],"schema":"https://github.com/citation-style-language/schema/raw/master/csl-citation.json"} </w:instrText>
      </w:r>
      <w:r w:rsidR="003E695B" w:rsidRPr="00030932">
        <w:rPr>
          <w:rFonts w:cstheme="minorHAnsi"/>
          <w:sz w:val="16"/>
          <w:szCs w:val="16"/>
        </w:rPr>
        <w:fldChar w:fldCharType="separate"/>
      </w:r>
      <w:r w:rsidR="003E695B" w:rsidRPr="00030932">
        <w:rPr>
          <w:rFonts w:cstheme="minorHAnsi"/>
          <w:sz w:val="16"/>
          <w:szCs w:val="16"/>
        </w:rPr>
        <w:t xml:space="preserve">Lisa Brophy, Christopher James Ryan and Penelope Weller, ‘Community Treatment Orders: The Evidence and the Ethical Implications’ in </w:t>
      </w:r>
      <w:r w:rsidR="003E695B" w:rsidRPr="00030932">
        <w:rPr>
          <w:rFonts w:cstheme="minorHAnsi"/>
          <w:i/>
          <w:iCs/>
          <w:sz w:val="16"/>
          <w:szCs w:val="16"/>
        </w:rPr>
        <w:t>Critical Perspectives on Coercive Interventions</w:t>
      </w:r>
      <w:r w:rsidR="003E695B" w:rsidRPr="00030932">
        <w:rPr>
          <w:rFonts w:cstheme="minorHAnsi"/>
          <w:sz w:val="16"/>
          <w:szCs w:val="16"/>
        </w:rPr>
        <w:t xml:space="preserve"> (Routledge, 2018) 30.</w:t>
      </w:r>
      <w:r w:rsidR="003E695B" w:rsidRPr="00030932">
        <w:rPr>
          <w:rFonts w:cstheme="minorHAnsi"/>
          <w:sz w:val="16"/>
          <w:szCs w:val="16"/>
        </w:rPr>
        <w:fldChar w:fldCharType="end"/>
      </w:r>
    </w:p>
  </w:footnote>
  <w:footnote w:id="63">
    <w:p w14:paraId="08E1C558" w14:textId="37BC2312" w:rsidR="00586D69" w:rsidRPr="00030932" w:rsidRDefault="00586D69">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lang w:val="en-US"/>
        </w:rPr>
        <w:t xml:space="preserve">Antunovich v Dawson </w:t>
      </w:r>
      <w:r w:rsidRPr="00030932">
        <w:rPr>
          <w:rFonts w:cstheme="minorHAnsi"/>
          <w:sz w:val="16"/>
          <w:szCs w:val="16"/>
          <w:lang w:val="en-US"/>
        </w:rPr>
        <w:t>(2010) 30 VR 355; [2010] VSC 377</w:t>
      </w:r>
      <w:r w:rsidR="0019661E" w:rsidRPr="00030932">
        <w:rPr>
          <w:rFonts w:cstheme="minorHAnsi"/>
          <w:sz w:val="16"/>
          <w:szCs w:val="16"/>
          <w:lang w:val="en-US"/>
        </w:rPr>
        <w:t xml:space="preserve"> at [174</w:t>
      </w:r>
      <w:r w:rsidR="00122793" w:rsidRPr="00030932">
        <w:rPr>
          <w:rFonts w:cstheme="minorHAnsi"/>
          <w:sz w:val="16"/>
          <w:szCs w:val="16"/>
          <w:lang w:val="en-US"/>
        </w:rPr>
        <w:t>]</w:t>
      </w:r>
      <w:r w:rsidR="00122793" w:rsidRPr="00030932">
        <w:rPr>
          <w:rFonts w:cstheme="minorHAnsi"/>
          <w:sz w:val="16"/>
          <w:szCs w:val="16"/>
        </w:rPr>
        <w:t>–</w:t>
      </w:r>
      <w:r w:rsidR="0019661E" w:rsidRPr="00030932">
        <w:rPr>
          <w:rFonts w:cstheme="minorHAnsi"/>
          <w:sz w:val="16"/>
          <w:szCs w:val="16"/>
          <w:lang w:val="en-US"/>
        </w:rPr>
        <w:t>[184].</w:t>
      </w:r>
    </w:p>
  </w:footnote>
  <w:footnote w:id="64">
    <w:p w14:paraId="72C5B4FC" w14:textId="77777777" w:rsidR="001502D8" w:rsidRPr="00030932" w:rsidRDefault="001502D8" w:rsidP="001502D8">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lang w:val="en-US"/>
        </w:rPr>
        <w:t xml:space="preserve">Kracke v Mental Health Review Board </w:t>
      </w:r>
      <w:r w:rsidRPr="00030932">
        <w:rPr>
          <w:rFonts w:cstheme="minorHAnsi"/>
          <w:sz w:val="16"/>
          <w:szCs w:val="16"/>
          <w:lang w:val="en-US"/>
        </w:rPr>
        <w:t xml:space="preserve">(2009) 29 VAR 1; [2009] VCAT 646 at [588]; </w:t>
      </w:r>
      <w:r w:rsidRPr="00030932">
        <w:rPr>
          <w:rFonts w:cstheme="minorHAnsi"/>
          <w:i/>
          <w:iCs/>
          <w:sz w:val="16"/>
          <w:szCs w:val="16"/>
          <w:lang w:val="en-US"/>
        </w:rPr>
        <w:t xml:space="preserve">Antunovich v Dawson </w:t>
      </w:r>
      <w:r w:rsidRPr="00030932">
        <w:rPr>
          <w:rFonts w:cstheme="minorHAnsi"/>
          <w:sz w:val="16"/>
          <w:szCs w:val="16"/>
          <w:lang w:val="en-US"/>
        </w:rPr>
        <w:t>(2010) 30 VR 355; [2010] VSC 377 at [72].</w:t>
      </w:r>
    </w:p>
  </w:footnote>
  <w:footnote w:id="65">
    <w:p w14:paraId="25BD24FB" w14:textId="77777777" w:rsidR="001502D8" w:rsidRPr="00030932" w:rsidRDefault="001502D8" w:rsidP="001502D8">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However, this is complicated by the fact that such programs are voluntary, while at the same time, may sit against the backdrop of an existing community treatment order and the potential for an inpatient admission if the person’s mental health worsens in the eyes of the mental health service.</w:t>
      </w:r>
    </w:p>
  </w:footnote>
  <w:footnote w:id="66">
    <w:p w14:paraId="79C8BC6B" w14:textId="6984551A" w:rsidR="00C02791" w:rsidRPr="00030932" w:rsidRDefault="00C02791">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0090088D" w:rsidRPr="00030932">
        <w:rPr>
          <w:rFonts w:cstheme="minorHAnsi"/>
          <w:i/>
          <w:iCs/>
          <w:sz w:val="16"/>
          <w:szCs w:val="16"/>
          <w:lang w:val="en-US"/>
        </w:rPr>
        <w:t xml:space="preserve">PJB v Melbourne Health (Patrick’s Case) </w:t>
      </w:r>
      <w:r w:rsidR="0090088D" w:rsidRPr="00030932">
        <w:rPr>
          <w:rFonts w:cstheme="minorHAnsi"/>
          <w:sz w:val="16"/>
          <w:szCs w:val="16"/>
          <w:lang w:val="en-US"/>
        </w:rPr>
        <w:t>(2011) 39 VR 373; [2011] VSC 327</w:t>
      </w:r>
      <w:r w:rsidR="009A6BD4" w:rsidRPr="00030932">
        <w:rPr>
          <w:rFonts w:cstheme="minorHAnsi"/>
          <w:sz w:val="16"/>
          <w:szCs w:val="16"/>
          <w:lang w:val="en-US"/>
        </w:rPr>
        <w:t>.</w:t>
      </w:r>
    </w:p>
  </w:footnote>
  <w:footnote w:id="67">
    <w:p w14:paraId="5AE734EB" w14:textId="5F1C24BE" w:rsidR="00932C40" w:rsidRPr="00030932" w:rsidRDefault="00932C40">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lang w:val="en-US"/>
        </w:rPr>
        <w:t>See the case where police were empowered under other legislation to stop a person</w:t>
      </w:r>
      <w:r w:rsidR="005C2F71" w:rsidRPr="00030932">
        <w:rPr>
          <w:rFonts w:cstheme="minorHAnsi"/>
          <w:sz w:val="16"/>
          <w:szCs w:val="16"/>
          <w:lang w:val="en-US"/>
        </w:rPr>
        <w:t xml:space="preserve"> if they have a suspicion of wrongdoing, however the use of coercive policy questioning was not proportionate and therefore a breach of this right: </w:t>
      </w:r>
      <w:r w:rsidR="005C2F71" w:rsidRPr="00030932">
        <w:rPr>
          <w:rFonts w:cstheme="minorHAnsi"/>
          <w:i/>
          <w:iCs/>
          <w:sz w:val="16"/>
          <w:szCs w:val="16"/>
          <w:lang w:val="en-US"/>
        </w:rPr>
        <w:t xml:space="preserve">DPP v Kaba </w:t>
      </w:r>
      <w:r w:rsidR="005C2F71" w:rsidRPr="00030932">
        <w:rPr>
          <w:rFonts w:cstheme="minorHAnsi"/>
          <w:sz w:val="16"/>
          <w:szCs w:val="16"/>
          <w:lang w:val="en-US"/>
        </w:rPr>
        <w:t>(2014) 44 VR 526; [2014] VSC 52 at [458]</w:t>
      </w:r>
      <w:r w:rsidR="00122793" w:rsidRPr="00030932">
        <w:rPr>
          <w:rFonts w:cstheme="minorHAnsi"/>
          <w:sz w:val="16"/>
          <w:szCs w:val="16"/>
        </w:rPr>
        <w:t>–</w:t>
      </w:r>
      <w:r w:rsidR="005C2F71" w:rsidRPr="00030932">
        <w:rPr>
          <w:rFonts w:cstheme="minorHAnsi"/>
          <w:sz w:val="16"/>
          <w:szCs w:val="16"/>
          <w:lang w:val="en-US"/>
        </w:rPr>
        <w:t>[470].</w:t>
      </w:r>
    </w:p>
  </w:footnote>
  <w:footnote w:id="68">
    <w:p w14:paraId="617E54C8" w14:textId="1DAA1780" w:rsidR="00E67F4D" w:rsidRPr="00030932" w:rsidRDefault="00E67F4D">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lang w:val="en-US"/>
        </w:rPr>
        <w:t xml:space="preserve">Loielo v Giles </w:t>
      </w:r>
      <w:r w:rsidR="00EF4F68" w:rsidRPr="00030932">
        <w:rPr>
          <w:rFonts w:cstheme="minorHAnsi"/>
          <w:sz w:val="16"/>
          <w:szCs w:val="16"/>
          <w:lang w:val="en-US"/>
        </w:rPr>
        <w:t>(2020) 63 VR 1</w:t>
      </w:r>
      <w:r w:rsidR="003958B6" w:rsidRPr="00030932">
        <w:rPr>
          <w:rFonts w:cstheme="minorHAnsi"/>
          <w:sz w:val="16"/>
          <w:szCs w:val="16"/>
          <w:lang w:val="en-US"/>
        </w:rPr>
        <w:t>, 10 [21].</w:t>
      </w:r>
    </w:p>
  </w:footnote>
  <w:footnote w:id="69">
    <w:p w14:paraId="6BEDF957" w14:textId="4674A7E9" w:rsidR="00D83B40" w:rsidRPr="00030932" w:rsidRDefault="00D83B40">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lang w:val="en-US"/>
        </w:rPr>
        <w:t xml:space="preserve">Director of Housing v Sudi </w:t>
      </w:r>
      <w:r w:rsidRPr="00030932">
        <w:rPr>
          <w:rFonts w:cstheme="minorHAnsi"/>
          <w:sz w:val="16"/>
          <w:szCs w:val="16"/>
          <w:lang w:val="en-US"/>
        </w:rPr>
        <w:t>[2010] VCAT 328 at [29] per Bell J.</w:t>
      </w:r>
    </w:p>
  </w:footnote>
  <w:footnote w:id="70">
    <w:p w14:paraId="1797BFEF" w14:textId="00A1F71F" w:rsidR="00AB72B0" w:rsidRPr="00030932" w:rsidRDefault="00AB72B0">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Therefore an interference with that right might be lawful, but it is still arbitrary. Arbitrary can be understood as </w:t>
      </w:r>
      <w:r w:rsidR="00B029F6" w:rsidRPr="00030932">
        <w:rPr>
          <w:rFonts w:cstheme="minorHAnsi"/>
          <w:sz w:val="16"/>
          <w:szCs w:val="16"/>
        </w:rPr>
        <w:t>an act that is ‘capricious’ or that is unpredictable, unjust or unreasonable</w:t>
      </w:r>
      <w:r w:rsidR="005F7976" w:rsidRPr="00030932">
        <w:rPr>
          <w:rFonts w:cstheme="minorHAnsi"/>
          <w:sz w:val="16"/>
          <w:szCs w:val="16"/>
        </w:rPr>
        <w:t xml:space="preserve"> relative to the purpose of the interference: </w:t>
      </w:r>
      <w:r w:rsidR="005F7976" w:rsidRPr="00030932">
        <w:rPr>
          <w:rFonts w:cstheme="minorHAnsi"/>
          <w:i/>
          <w:sz w:val="16"/>
          <w:szCs w:val="16"/>
        </w:rPr>
        <w:t xml:space="preserve">Mongue v Thompson </w:t>
      </w:r>
      <w:r w:rsidR="005F7976" w:rsidRPr="00030932">
        <w:rPr>
          <w:rFonts w:cstheme="minorHAnsi"/>
          <w:sz w:val="16"/>
          <w:szCs w:val="16"/>
        </w:rPr>
        <w:t>[2021] VSCA 358, [55].</w:t>
      </w:r>
    </w:p>
  </w:footnote>
  <w:footnote w:id="71">
    <w:p w14:paraId="095837A9" w14:textId="11B5AA0E" w:rsidR="0095574F" w:rsidRPr="00030932" w:rsidRDefault="0095574F">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00E4702B" w:rsidRPr="00030932">
        <w:rPr>
          <w:rFonts w:cstheme="minorHAnsi"/>
          <w:sz w:val="16"/>
          <w:szCs w:val="16"/>
        </w:rPr>
        <w:fldChar w:fldCharType="begin"/>
      </w:r>
      <w:r w:rsidR="005A3579">
        <w:rPr>
          <w:rFonts w:cstheme="minorHAnsi"/>
          <w:sz w:val="16"/>
          <w:szCs w:val="16"/>
        </w:rPr>
        <w:instrText xml:space="preserve"> ADDIN ZOTERO_ITEM CSL_CITATION {"citationID":"FHshdcxw","properties":{"formattedCitation":"Alistair Pound and Kylie Evans, {\\i{}Annotated Victorian Charter of Rights} (Thomson Reuters (Professional) Australia Limited, 2019) 115\\uc0\\u8211{}116.","plainCitation":"Alistair Pound and Kylie Evans, Annotated Victorian Charter of Rights (Thomson Reuters (Professional) Australia Limited, 2019) 115–116.","noteIndex":161},"citationItems":[{"id":1624,"uris":["http://zotero.org/users/local/OLPofQUL/items/JM6CNWPP"],"itemData":{"id":1624,"type":"book","ISBN":"0-455-50030-4","publisher":"Thomson Reuters (Professional) Australia Limited","title":"Annotated Victorian charter of rights","author":[{"family":"Pound","given":"Alistair"},{"family":"Evans","given":"Kylie"}],"issued":{"date-parts":[["2019"]]}},"locator":"115-116","label":"page"}],"schema":"https://github.com/citation-style-language/schema/raw/master/csl-citation.json"} </w:instrText>
      </w:r>
      <w:r w:rsidR="00E4702B" w:rsidRPr="00030932">
        <w:rPr>
          <w:rFonts w:cstheme="minorHAnsi"/>
          <w:sz w:val="16"/>
          <w:szCs w:val="16"/>
        </w:rPr>
        <w:fldChar w:fldCharType="separate"/>
      </w:r>
      <w:r w:rsidR="00BC4F77" w:rsidRPr="00030932">
        <w:rPr>
          <w:rFonts w:cstheme="minorHAnsi"/>
          <w:sz w:val="16"/>
          <w:szCs w:val="16"/>
        </w:rPr>
        <w:t xml:space="preserve">Alistair Pound and Kylie Evans, </w:t>
      </w:r>
      <w:r w:rsidR="00BC4F77" w:rsidRPr="00030932">
        <w:rPr>
          <w:rFonts w:cstheme="minorHAnsi"/>
          <w:i/>
          <w:iCs/>
          <w:sz w:val="16"/>
          <w:szCs w:val="16"/>
        </w:rPr>
        <w:t>Annotated Victorian Charter of Rights</w:t>
      </w:r>
      <w:r w:rsidR="00BC4F77" w:rsidRPr="00030932">
        <w:rPr>
          <w:rFonts w:cstheme="minorHAnsi"/>
          <w:sz w:val="16"/>
          <w:szCs w:val="16"/>
        </w:rPr>
        <w:t xml:space="preserve"> (Thomson Reuters (Professional) Australia Limited, 2019) 115–116.</w:t>
      </w:r>
      <w:r w:rsidR="00E4702B" w:rsidRPr="00030932">
        <w:rPr>
          <w:rFonts w:cstheme="minorHAnsi"/>
          <w:sz w:val="16"/>
          <w:szCs w:val="16"/>
        </w:rPr>
        <w:fldChar w:fldCharType="end"/>
      </w:r>
    </w:p>
  </w:footnote>
  <w:footnote w:id="72">
    <w:p w14:paraId="69A01D6F" w14:textId="6E690753" w:rsidR="00076DF1" w:rsidRPr="00030932" w:rsidRDefault="00076DF1">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lang w:val="en-US"/>
        </w:rPr>
        <w:t xml:space="preserve">Emerton J in </w:t>
      </w:r>
      <w:r w:rsidRPr="00030932">
        <w:rPr>
          <w:rFonts w:cstheme="minorHAnsi"/>
          <w:i/>
          <w:iCs/>
          <w:sz w:val="16"/>
          <w:szCs w:val="16"/>
          <w:lang w:val="en-US"/>
        </w:rPr>
        <w:t>Castles v Department of Justice</w:t>
      </w:r>
      <w:r w:rsidRPr="00030932">
        <w:rPr>
          <w:rFonts w:cstheme="minorHAnsi"/>
          <w:sz w:val="16"/>
          <w:szCs w:val="16"/>
          <w:lang w:val="en-US"/>
        </w:rPr>
        <w:t xml:space="preserve"> (2010) 28 VR 141; [2010] VSC 310 at [79].</w:t>
      </w:r>
    </w:p>
  </w:footnote>
  <w:footnote w:id="73">
    <w:p w14:paraId="7AEFB67C" w14:textId="77777777" w:rsidR="006610FE" w:rsidRPr="00030932" w:rsidRDefault="006610FE" w:rsidP="006610FE">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lang w:val="en-US"/>
        </w:rPr>
        <w:t xml:space="preserve">Bell J at [619]–[620] in </w:t>
      </w:r>
      <w:r w:rsidRPr="00030932">
        <w:rPr>
          <w:rFonts w:cstheme="minorHAnsi"/>
          <w:i/>
          <w:iCs/>
          <w:sz w:val="16"/>
          <w:szCs w:val="16"/>
          <w:lang w:val="en-US"/>
        </w:rPr>
        <w:t xml:space="preserve">Kracke v Mental Health Review Board </w:t>
      </w:r>
      <w:r w:rsidRPr="00030932">
        <w:rPr>
          <w:rFonts w:cstheme="minorHAnsi"/>
          <w:sz w:val="16"/>
          <w:szCs w:val="16"/>
          <w:lang w:val="en-US"/>
        </w:rPr>
        <w:t>(2009) 29 VAR 1; [2009] VCAT 646</w:t>
      </w:r>
    </w:p>
  </w:footnote>
  <w:footnote w:id="74">
    <w:p w14:paraId="3123A0C1" w14:textId="77777777" w:rsidR="009E40E1" w:rsidRPr="00030932" w:rsidRDefault="009E40E1" w:rsidP="009E40E1">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lang w:val="en-US"/>
        </w:rPr>
        <w:t xml:space="preserve">Bell J at [619]–[620] in </w:t>
      </w:r>
      <w:r w:rsidRPr="00030932">
        <w:rPr>
          <w:rFonts w:cstheme="minorHAnsi"/>
          <w:i/>
          <w:iCs/>
          <w:sz w:val="16"/>
          <w:szCs w:val="16"/>
          <w:lang w:val="en-US"/>
        </w:rPr>
        <w:t xml:space="preserve">Kracke v Mental Health Review Board </w:t>
      </w:r>
      <w:r w:rsidRPr="00030932">
        <w:rPr>
          <w:rFonts w:cstheme="minorHAnsi"/>
          <w:sz w:val="16"/>
          <w:szCs w:val="16"/>
          <w:lang w:val="en-US"/>
        </w:rPr>
        <w:t>(2009) 29 VAR 1; [2009] VCAT 646</w:t>
      </w:r>
    </w:p>
  </w:footnote>
  <w:footnote w:id="75">
    <w:p w14:paraId="71CF0CCB" w14:textId="18A12DA4" w:rsidR="0043101C" w:rsidRPr="00030932" w:rsidRDefault="0043101C" w:rsidP="0043101C">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5A3579">
        <w:rPr>
          <w:rFonts w:cstheme="minorHAnsi"/>
          <w:sz w:val="16"/>
          <w:szCs w:val="16"/>
        </w:rPr>
        <w:instrText xml:space="preserve"> ADDIN ZOTERO_ITEM CSL_CITATION {"citationID":"paYGK07Q","properties":{"formattedCitation":"Pound and Evans (n 161) 116.","plainCitation":"Pound and Evans (n 161) 116.","noteIndex":165},"citationItems":[{"id":1624,"uris":["http://zotero.org/users/local/OLPofQUL/items/JM6CNWPP"],"itemData":{"id":1624,"type":"book","ISBN":"0-455-50030-4","publisher":"Thomson Reuters (Professional) Australia Limited","title":"Annotated Victorian charter of rights","author":[{"family":"Pound","given":"Alistair"},{"family":"Evans","given":"Kylie"}],"issued":{"date-parts":[["2019"]]}},"locator":"116","label":"page"}],"schema":"https://github.com/citation-style-language/schema/raw/master/csl-citation.json"} </w:instrText>
      </w:r>
      <w:r w:rsidRPr="00030932">
        <w:rPr>
          <w:rFonts w:cstheme="minorHAnsi"/>
          <w:sz w:val="16"/>
          <w:szCs w:val="16"/>
        </w:rPr>
        <w:fldChar w:fldCharType="separate"/>
      </w:r>
      <w:r w:rsidR="005A3579" w:rsidRPr="005A3579">
        <w:rPr>
          <w:rFonts w:ascii="Calibri" w:hAnsi="Calibri" w:cs="Calibri"/>
          <w:sz w:val="16"/>
        </w:rPr>
        <w:t>Pound and Evans (n 161) 116.</w:t>
      </w:r>
      <w:r w:rsidRPr="00030932">
        <w:rPr>
          <w:rFonts w:cstheme="minorHAnsi"/>
          <w:sz w:val="16"/>
          <w:szCs w:val="16"/>
        </w:rPr>
        <w:fldChar w:fldCharType="end"/>
      </w:r>
    </w:p>
  </w:footnote>
  <w:footnote w:id="76">
    <w:p w14:paraId="6F6F030C" w14:textId="77777777" w:rsidR="0043101C" w:rsidRPr="00030932" w:rsidRDefault="0043101C" w:rsidP="0043101C">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lang w:val="en-US"/>
        </w:rPr>
        <w:t xml:space="preserve">Such as the </w:t>
      </w:r>
      <w:r w:rsidRPr="00030932">
        <w:rPr>
          <w:rFonts w:cstheme="minorHAnsi"/>
          <w:i/>
          <w:iCs/>
          <w:sz w:val="16"/>
          <w:szCs w:val="16"/>
          <w:lang w:val="en-US"/>
        </w:rPr>
        <w:t xml:space="preserve">Privacy and Data Protection Act 2014 </w:t>
      </w:r>
      <w:r w:rsidRPr="00030932">
        <w:rPr>
          <w:rFonts w:cstheme="minorHAnsi"/>
          <w:sz w:val="16"/>
          <w:szCs w:val="16"/>
          <w:lang w:val="en-US"/>
        </w:rPr>
        <w:t xml:space="preserve">(Vic) and the </w:t>
      </w:r>
      <w:r w:rsidRPr="00030932">
        <w:rPr>
          <w:rFonts w:cstheme="minorHAnsi"/>
          <w:i/>
          <w:iCs/>
          <w:sz w:val="16"/>
          <w:szCs w:val="16"/>
          <w:lang w:val="en-US"/>
        </w:rPr>
        <w:t xml:space="preserve">Health Records Act 2001 </w:t>
      </w:r>
      <w:r w:rsidRPr="00030932">
        <w:rPr>
          <w:rFonts w:cstheme="minorHAnsi"/>
          <w:sz w:val="16"/>
          <w:szCs w:val="16"/>
          <w:lang w:val="en-US"/>
        </w:rPr>
        <w:t>(Vic).</w:t>
      </w:r>
    </w:p>
  </w:footnote>
  <w:footnote w:id="77">
    <w:p w14:paraId="4685B489" w14:textId="77777777" w:rsidR="00BC760B" w:rsidRPr="00030932" w:rsidRDefault="00BC760B" w:rsidP="00BC760B">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lang w:val="en-US"/>
        </w:rPr>
        <w:t xml:space="preserve">Explanatory Memorandum, </w:t>
      </w:r>
      <w:r w:rsidRPr="00030932">
        <w:rPr>
          <w:rFonts w:cstheme="minorHAnsi"/>
          <w:i/>
          <w:iCs/>
          <w:sz w:val="16"/>
          <w:szCs w:val="16"/>
          <w:lang w:val="en-US"/>
        </w:rPr>
        <w:t xml:space="preserve">Charter of Human Rights and Responsibilities Bill 2006 </w:t>
      </w:r>
      <w:r w:rsidRPr="00030932">
        <w:rPr>
          <w:rFonts w:cstheme="minorHAnsi"/>
          <w:sz w:val="16"/>
          <w:szCs w:val="16"/>
          <w:lang w:val="en-US"/>
        </w:rPr>
        <w:t>(Vic) 14.</w:t>
      </w:r>
    </w:p>
  </w:footnote>
  <w:footnote w:id="78">
    <w:p w14:paraId="2FA877F7" w14:textId="77777777" w:rsidR="007E5533" w:rsidRPr="00030932" w:rsidRDefault="007E5533" w:rsidP="007E5533">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lang w:val="en-US"/>
        </w:rPr>
        <w:t xml:space="preserve">For a persuasive judgment in a European context, see: </w:t>
      </w:r>
      <w:r w:rsidRPr="00030932">
        <w:rPr>
          <w:rFonts w:cstheme="minorHAnsi"/>
          <w:i/>
          <w:iCs/>
          <w:sz w:val="16"/>
          <w:szCs w:val="16"/>
          <w:lang w:val="en-US"/>
        </w:rPr>
        <w:t xml:space="preserve">Schalk and Kopf v Austria </w:t>
      </w:r>
      <w:r w:rsidRPr="00030932">
        <w:rPr>
          <w:rFonts w:cstheme="minorHAnsi"/>
          <w:sz w:val="16"/>
          <w:szCs w:val="16"/>
          <w:lang w:val="en-US"/>
        </w:rPr>
        <w:t>(2011) 53 EHRR 20; [2010] ECHR 995.</w:t>
      </w:r>
    </w:p>
  </w:footnote>
  <w:footnote w:id="79">
    <w:p w14:paraId="450A53A0" w14:textId="77777777" w:rsidR="00F93BD4" w:rsidRPr="00030932" w:rsidRDefault="00F93BD4" w:rsidP="00F93BD4">
      <w:pPr>
        <w:pStyle w:val="FootnoteText"/>
        <w:rPr>
          <w:rFonts w:cstheme="minorHAnsi"/>
          <w:i/>
          <w:iCs/>
          <w:sz w:val="16"/>
          <w:szCs w:val="16"/>
          <w:lang w:val="en-US"/>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rPr>
        <w:t xml:space="preserve">Director of Housing v Sudi </w:t>
      </w:r>
      <w:r w:rsidRPr="00030932">
        <w:rPr>
          <w:rFonts w:cstheme="minorHAnsi"/>
          <w:sz w:val="16"/>
          <w:szCs w:val="16"/>
        </w:rPr>
        <w:t>(2010) 33 VAR 139; [2010] VCAT 328 at [32]–[34].</w:t>
      </w:r>
    </w:p>
  </w:footnote>
  <w:footnote w:id="80">
    <w:p w14:paraId="6158B2F0" w14:textId="77777777" w:rsidR="002C2703" w:rsidRPr="00030932" w:rsidRDefault="002C2703" w:rsidP="002C2703">
      <w:pPr>
        <w:pStyle w:val="FootnoteText"/>
        <w:rPr>
          <w:rFonts w:cstheme="minorHAnsi"/>
          <w:i/>
          <w:iCs/>
          <w:sz w:val="16"/>
          <w:szCs w:val="16"/>
          <w:lang w:val="en-US"/>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rPr>
        <w:t xml:space="preserve">Director of Housing v Sudi </w:t>
      </w:r>
      <w:r w:rsidRPr="00030932">
        <w:rPr>
          <w:rFonts w:cstheme="minorHAnsi"/>
          <w:sz w:val="16"/>
          <w:szCs w:val="16"/>
        </w:rPr>
        <w:t>(2010) 33 VAR 139; [2010] VCAT 328 at [32].</w:t>
      </w:r>
    </w:p>
  </w:footnote>
  <w:footnote w:id="81">
    <w:p w14:paraId="0549FCA2" w14:textId="77777777" w:rsidR="002C2703" w:rsidRPr="00030932" w:rsidRDefault="002C2703" w:rsidP="002C2703">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lang w:val="en-US"/>
        </w:rPr>
        <w:t xml:space="preserve">PJB v Melbourne Health (Patrick’s Case) </w:t>
      </w:r>
      <w:r w:rsidRPr="00030932">
        <w:rPr>
          <w:rFonts w:cstheme="minorHAnsi"/>
          <w:sz w:val="16"/>
          <w:szCs w:val="16"/>
          <w:lang w:val="en-US"/>
        </w:rPr>
        <w:t>(2011) 39 VR 373; [2011] VSC 327 at [58].</w:t>
      </w:r>
    </w:p>
  </w:footnote>
  <w:footnote w:id="82">
    <w:p w14:paraId="650EE669" w14:textId="16B514C5" w:rsidR="00E526A9" w:rsidRPr="00030932" w:rsidRDefault="00E526A9">
      <w:pPr>
        <w:pStyle w:val="FootnoteText"/>
        <w:rPr>
          <w:rFonts w:cstheme="minorHAnsi"/>
          <w:i/>
          <w:iCs/>
          <w:sz w:val="16"/>
          <w:szCs w:val="16"/>
          <w:lang w:val="en-US"/>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lang w:val="en-US"/>
        </w:rPr>
        <w:t xml:space="preserve">Kracke v Mental Health Review Board </w:t>
      </w:r>
      <w:r w:rsidRPr="00030932">
        <w:rPr>
          <w:rFonts w:cstheme="minorHAnsi"/>
          <w:sz w:val="16"/>
          <w:szCs w:val="16"/>
          <w:lang w:val="en-US"/>
        </w:rPr>
        <w:t>(2009) 29 VAR 1; [2009] VCAT 646 at [</w:t>
      </w:r>
      <w:r w:rsidR="00DE5B15" w:rsidRPr="00030932">
        <w:rPr>
          <w:rFonts w:cstheme="minorHAnsi"/>
          <w:sz w:val="16"/>
          <w:szCs w:val="16"/>
          <w:lang w:val="en-US"/>
        </w:rPr>
        <w:t>29].</w:t>
      </w:r>
    </w:p>
  </w:footnote>
  <w:footnote w:id="83">
    <w:p w14:paraId="271E0640" w14:textId="79C17A62" w:rsidR="00EF5C7D" w:rsidRPr="00030932" w:rsidRDefault="00EF5C7D">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lang w:val="en-US"/>
        </w:rPr>
        <w:t xml:space="preserve">XYZ v Victoria Police </w:t>
      </w:r>
      <w:r w:rsidRPr="00030932">
        <w:rPr>
          <w:rFonts w:cstheme="minorHAnsi"/>
          <w:sz w:val="16"/>
          <w:szCs w:val="16"/>
          <w:lang w:val="en-US"/>
        </w:rPr>
        <w:t>(2010) 33 VAR 1; [2010] VCAT 255 at [454]</w:t>
      </w:r>
      <w:r w:rsidR="00334714" w:rsidRPr="00030932">
        <w:rPr>
          <w:rFonts w:cstheme="minorHAnsi"/>
          <w:sz w:val="16"/>
          <w:szCs w:val="16"/>
          <w:lang w:val="en-US"/>
        </w:rPr>
        <w:t>–</w:t>
      </w:r>
      <w:r w:rsidRPr="00030932">
        <w:rPr>
          <w:rFonts w:cstheme="minorHAnsi"/>
          <w:sz w:val="16"/>
          <w:szCs w:val="16"/>
          <w:lang w:val="en-US"/>
        </w:rPr>
        <w:t>[474].</w:t>
      </w:r>
    </w:p>
  </w:footnote>
  <w:footnote w:id="84">
    <w:p w14:paraId="67DB9A3D" w14:textId="1F86F449" w:rsidR="00F96BB6" w:rsidRPr="00030932" w:rsidRDefault="00F96BB6">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In ‘</w:t>
      </w:r>
      <w:r w:rsidRPr="00030932">
        <w:rPr>
          <w:rFonts w:cstheme="minorHAnsi"/>
          <w:i/>
          <w:iCs/>
          <w:sz w:val="16"/>
          <w:szCs w:val="16"/>
        </w:rPr>
        <w:t>Seachange</w:t>
      </w:r>
      <w:r w:rsidRPr="00030932">
        <w:rPr>
          <w:rFonts w:cstheme="minorHAnsi"/>
          <w:sz w:val="16"/>
          <w:szCs w:val="16"/>
        </w:rPr>
        <w:t xml:space="preserve">’ the court ultimately found the right was not engaged because the information was not ‘of an intensely private or personally </w:t>
      </w:r>
      <w:r w:rsidR="00C234E1" w:rsidRPr="00030932">
        <w:rPr>
          <w:rFonts w:cstheme="minorHAnsi"/>
          <w:sz w:val="16"/>
          <w:szCs w:val="16"/>
        </w:rPr>
        <w:t>embarrassing</w:t>
      </w:r>
      <w:r w:rsidRPr="00030932">
        <w:rPr>
          <w:rFonts w:cstheme="minorHAnsi"/>
          <w:sz w:val="16"/>
          <w:szCs w:val="16"/>
        </w:rPr>
        <w:t xml:space="preserve"> nature’ which may be distinguishable from some mental health settings: </w:t>
      </w:r>
      <w:r w:rsidRPr="00030932">
        <w:rPr>
          <w:rFonts w:cstheme="minorHAnsi"/>
          <w:i/>
          <w:iCs/>
          <w:sz w:val="16"/>
          <w:szCs w:val="16"/>
          <w:lang w:val="en-US"/>
        </w:rPr>
        <w:t xml:space="preserve">Seachange Management v Benvol Constructions &amp; Developments Pty Ltd </w:t>
      </w:r>
      <w:r w:rsidRPr="00030932">
        <w:rPr>
          <w:rFonts w:cstheme="minorHAnsi"/>
          <w:sz w:val="16"/>
          <w:szCs w:val="16"/>
          <w:lang w:val="en-US"/>
        </w:rPr>
        <w:t>[2011] VSCA 54 at [31]</w:t>
      </w:r>
      <w:r w:rsidR="00334714" w:rsidRPr="00030932">
        <w:rPr>
          <w:rFonts w:cstheme="minorHAnsi"/>
          <w:sz w:val="16"/>
          <w:szCs w:val="16"/>
          <w:lang w:val="en-US"/>
        </w:rPr>
        <w:t xml:space="preserve"> – </w:t>
      </w:r>
      <w:r w:rsidRPr="00030932">
        <w:rPr>
          <w:rFonts w:cstheme="minorHAnsi"/>
          <w:sz w:val="16"/>
          <w:szCs w:val="16"/>
          <w:lang w:val="en-US"/>
        </w:rPr>
        <w:t>[36].</w:t>
      </w:r>
    </w:p>
  </w:footnote>
  <w:footnote w:id="85">
    <w:p w14:paraId="794665CB" w14:textId="769E3509" w:rsidR="00335454" w:rsidRPr="00030932" w:rsidRDefault="00335454">
      <w:pPr>
        <w:pStyle w:val="FootnoteText"/>
        <w:rPr>
          <w:rFonts w:cstheme="minorHAnsi"/>
          <w:sz w:val="16"/>
          <w:szCs w:val="16"/>
          <w:lang w:val="en-US"/>
        </w:rPr>
      </w:pPr>
      <w:r w:rsidRPr="00030932">
        <w:rPr>
          <w:rStyle w:val="FootnoteReference"/>
          <w:sz w:val="16"/>
          <w:szCs w:val="16"/>
        </w:rPr>
        <w:footnoteRef/>
      </w:r>
      <w:r w:rsidRPr="00030932">
        <w:rPr>
          <w:rFonts w:cstheme="minorHAnsi"/>
          <w:sz w:val="16"/>
          <w:szCs w:val="16"/>
        </w:rPr>
        <w:t xml:space="preserve"> </w:t>
      </w:r>
      <w:r w:rsidR="00C61824" w:rsidRPr="00030932">
        <w:rPr>
          <w:rFonts w:cstheme="minorHAnsi"/>
          <w:sz w:val="16"/>
          <w:szCs w:val="16"/>
        </w:rPr>
        <w:fldChar w:fldCharType="begin"/>
      </w:r>
      <w:r w:rsidR="00E33440" w:rsidRPr="00030932">
        <w:rPr>
          <w:rFonts w:cstheme="minorHAnsi"/>
          <w:sz w:val="16"/>
          <w:szCs w:val="16"/>
        </w:rPr>
        <w:instrText xml:space="preserve"> ADDIN ZOTERO_ITEM CSL_CITATION {"citationID":"IEtC9olP","properties":{"formattedCitation":"Victoria Legal Aid (n 8) 8, 20.","plainCitation":"Victoria Legal Aid (n 8) 8, 20.","noteIndex":187},"citationItems":[{"id":56,"uris":["http://zotero.org/users/local/OLPofQUL/items/NAESJ9R5"],"itemData":{"id":56,"type":"report","event-place":"Victoria Legal Aid","publisher":"Victoria Legal Aid","publisher-place":"Victoria Legal Aid","title":"Your story, your say: Consumers' priority issues and solutions for the Royal Commission into Victoria's Mental Health System","URL":"https://www.legalaid.vic.gov.au/sites/www.legalaid.vic.gov.au/files/vla-your-story-your-say-report.pdf","author":[{"literal":"Victoria Legal Aid"}],"issued":{"date-parts":[["2020"]]}},"locator":"8, 20","label":"page"}],"schema":"https://github.com/citation-style-language/schema/raw/master/csl-citation.json"} </w:instrText>
      </w:r>
      <w:r w:rsidR="00C61824" w:rsidRPr="00030932">
        <w:rPr>
          <w:rFonts w:cstheme="minorHAnsi"/>
          <w:sz w:val="16"/>
          <w:szCs w:val="16"/>
        </w:rPr>
        <w:fldChar w:fldCharType="separate"/>
      </w:r>
      <w:r w:rsidR="00453243" w:rsidRPr="00030932">
        <w:rPr>
          <w:rFonts w:ascii="Calibri" w:hAnsi="Calibri" w:cs="Calibri"/>
          <w:sz w:val="16"/>
          <w:szCs w:val="16"/>
        </w:rPr>
        <w:t>Victoria Legal Aid (n 8) 8, 20.</w:t>
      </w:r>
      <w:r w:rsidR="00C61824" w:rsidRPr="00030932">
        <w:rPr>
          <w:rFonts w:cstheme="minorHAnsi"/>
          <w:sz w:val="16"/>
          <w:szCs w:val="16"/>
        </w:rPr>
        <w:fldChar w:fldCharType="end"/>
      </w:r>
    </w:p>
  </w:footnote>
  <w:footnote w:id="86">
    <w:p w14:paraId="515CA4C9" w14:textId="5B56B35D" w:rsidR="00D53E9D" w:rsidRPr="00030932" w:rsidRDefault="00D53E9D">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rPr>
        <w:t>ZZ v Secretary, Department of Justice</w:t>
      </w:r>
      <w:r w:rsidRPr="00030932">
        <w:rPr>
          <w:rFonts w:cstheme="minorHAnsi"/>
          <w:sz w:val="16"/>
          <w:szCs w:val="16"/>
        </w:rPr>
        <w:t xml:space="preserve"> [2013] VSC 268 </w:t>
      </w:r>
      <w:r w:rsidR="006A6D03" w:rsidRPr="00030932">
        <w:rPr>
          <w:rFonts w:cstheme="minorHAnsi"/>
          <w:sz w:val="16"/>
          <w:szCs w:val="16"/>
        </w:rPr>
        <w:t>at [222], [229], and [234</w:t>
      </w:r>
      <w:r w:rsidR="004E7DAC" w:rsidRPr="00030932">
        <w:rPr>
          <w:rFonts w:cstheme="minorHAnsi"/>
          <w:sz w:val="16"/>
          <w:szCs w:val="16"/>
        </w:rPr>
        <w:t>]</w:t>
      </w:r>
      <w:r w:rsidR="0040726D" w:rsidRPr="00030932">
        <w:rPr>
          <w:rFonts w:cstheme="minorHAnsi"/>
          <w:sz w:val="16"/>
          <w:szCs w:val="16"/>
          <w:lang w:val="en-US"/>
        </w:rPr>
        <w:t>–</w:t>
      </w:r>
      <w:r w:rsidR="004E7DAC" w:rsidRPr="00030932">
        <w:rPr>
          <w:rFonts w:cstheme="minorHAnsi"/>
          <w:sz w:val="16"/>
          <w:szCs w:val="16"/>
        </w:rPr>
        <w:t>[237] per Bell J.</w:t>
      </w:r>
    </w:p>
  </w:footnote>
  <w:footnote w:id="87">
    <w:p w14:paraId="0FCA062E" w14:textId="36A05ACF" w:rsidR="00D31A05" w:rsidRPr="00030932" w:rsidRDefault="00D31A05">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rPr>
        <w:t xml:space="preserve">Minogue v Dougherty </w:t>
      </w:r>
      <w:r w:rsidRPr="00030932">
        <w:rPr>
          <w:rFonts w:cstheme="minorHAnsi"/>
          <w:sz w:val="16"/>
          <w:szCs w:val="16"/>
        </w:rPr>
        <w:t>[2017] VSC 724</w:t>
      </w:r>
      <w:r w:rsidR="00C62240" w:rsidRPr="00030932">
        <w:rPr>
          <w:rFonts w:cstheme="minorHAnsi"/>
          <w:sz w:val="16"/>
          <w:szCs w:val="16"/>
        </w:rPr>
        <w:t>.</w:t>
      </w:r>
    </w:p>
  </w:footnote>
  <w:footnote w:id="88">
    <w:p w14:paraId="35DAB026" w14:textId="03966CA5" w:rsidR="00526DA0" w:rsidRPr="00030932" w:rsidRDefault="00526DA0">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rPr>
        <w:t xml:space="preserve">Caripis v Victoria Police </w:t>
      </w:r>
      <w:r w:rsidRPr="00030932">
        <w:rPr>
          <w:rFonts w:cstheme="minorHAnsi"/>
          <w:sz w:val="16"/>
          <w:szCs w:val="16"/>
        </w:rPr>
        <w:t xml:space="preserve">[2012] VCAT 1472 </w:t>
      </w:r>
      <w:r w:rsidR="00DF0675" w:rsidRPr="00030932">
        <w:rPr>
          <w:rFonts w:cstheme="minorHAnsi"/>
          <w:sz w:val="16"/>
          <w:szCs w:val="16"/>
        </w:rPr>
        <w:t>ultimately found that the police did not unlawfully limit the right to privacy of a protestor</w:t>
      </w:r>
      <w:r w:rsidR="00507201" w:rsidRPr="00030932">
        <w:rPr>
          <w:rFonts w:cstheme="minorHAnsi"/>
          <w:sz w:val="16"/>
          <w:szCs w:val="16"/>
        </w:rPr>
        <w:t xml:space="preserve"> by keeping a photograph of them at a public protest so that police could plan around future </w:t>
      </w:r>
      <w:r w:rsidR="002C123F" w:rsidRPr="00030932">
        <w:rPr>
          <w:rFonts w:cstheme="minorHAnsi"/>
          <w:sz w:val="16"/>
          <w:szCs w:val="16"/>
        </w:rPr>
        <w:t xml:space="preserve">protests. Central to the reasoning of the Tribunal was that </w:t>
      </w:r>
      <w:r w:rsidR="00A810E5" w:rsidRPr="00030932">
        <w:rPr>
          <w:rFonts w:cstheme="minorHAnsi"/>
          <w:sz w:val="16"/>
          <w:szCs w:val="16"/>
        </w:rPr>
        <w:t xml:space="preserve">the person would reasonably expect that protesting in a public place would forego the right to privacy. These facts may be distinguishable from individuals in mental health inpatient units, with any such information being considered private. Moreover, individuals </w:t>
      </w:r>
      <w:r w:rsidR="006308CA" w:rsidRPr="00030932">
        <w:rPr>
          <w:rFonts w:cstheme="minorHAnsi"/>
          <w:sz w:val="16"/>
          <w:szCs w:val="16"/>
        </w:rPr>
        <w:t>may be</w:t>
      </w:r>
      <w:r w:rsidR="00A810E5" w:rsidRPr="00030932">
        <w:rPr>
          <w:rFonts w:cstheme="minorHAnsi"/>
          <w:sz w:val="16"/>
          <w:szCs w:val="16"/>
        </w:rPr>
        <w:t xml:space="preserve"> in mental health services against their will.</w:t>
      </w:r>
    </w:p>
  </w:footnote>
  <w:footnote w:id="89">
    <w:p w14:paraId="0F31A278" w14:textId="3DF9392D" w:rsidR="008F1A49" w:rsidRPr="00030932" w:rsidRDefault="008F1A49">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5A3579">
        <w:rPr>
          <w:rFonts w:cstheme="minorHAnsi"/>
          <w:sz w:val="16"/>
          <w:szCs w:val="16"/>
        </w:rPr>
        <w:instrText xml:space="preserve"> ADDIN ZOTERO_ITEM CSL_CITATION {"citationID":"OaMh1vxj","properties":{"formattedCitation":"Piers M Gooding and David M Clifford, \\uc0\\u8216{}Semi-Automated Care: Video-Algorithmic Patient Monitoring and Surveillance in Care Settings\\uc0\\u8217{} (2021) 18(4) {\\i{}Journal of bioethical inquiry} 541.","plainCitation":"Piers M Gooding and David M Clifford, ‘Semi-Automated Care: Video-Algorithmic Patient Monitoring and Surveillance in Care Settings’ (2021) 18(4) Journal of bioethical inquiry 541.","noteIndex":193},"citationItems":[{"id":1956,"uris":["http://zotero.org/users/local/OLPofQUL/items/BYDZLMXQ"],"itemData":{"id":1956,"type":"article-journal","container-title":"Journal of bioethical inquiry","issue":"4","note":"ISBN: 1872-4353\npublisher: Springer","page":"541-546","title":"Semi-automated care: Video-algorithmic patient monitoring and surveillance in care settings","volume":"18","author":[{"family":"Gooding","given":"Piers M."},{"family":"Clifford","given":"David M."}],"issued":{"date-parts":[["2021"]]}}}],"schema":"https://github.com/citation-style-language/schema/raw/master/csl-citation.json"} </w:instrText>
      </w:r>
      <w:r w:rsidRPr="00030932">
        <w:rPr>
          <w:rFonts w:cstheme="minorHAnsi"/>
          <w:sz w:val="16"/>
          <w:szCs w:val="16"/>
        </w:rPr>
        <w:fldChar w:fldCharType="separate"/>
      </w:r>
      <w:r w:rsidRPr="00030932">
        <w:rPr>
          <w:rFonts w:cstheme="minorHAnsi"/>
          <w:sz w:val="16"/>
          <w:szCs w:val="16"/>
        </w:rPr>
        <w:t xml:space="preserve">Piers M Gooding and David M Clifford, ‘Semi-Automated Care: Video-Algorithmic Patient Monitoring and Surveillance in Care Settings’ (2021) 18(4) </w:t>
      </w:r>
      <w:r w:rsidRPr="00030932">
        <w:rPr>
          <w:rFonts w:cstheme="minorHAnsi"/>
          <w:i/>
          <w:iCs/>
          <w:sz w:val="16"/>
          <w:szCs w:val="16"/>
        </w:rPr>
        <w:t>Journal of bioethical inquiry</w:t>
      </w:r>
      <w:r w:rsidRPr="00030932">
        <w:rPr>
          <w:rFonts w:cstheme="minorHAnsi"/>
          <w:sz w:val="16"/>
          <w:szCs w:val="16"/>
        </w:rPr>
        <w:t xml:space="preserve"> 541.</w:t>
      </w:r>
      <w:r w:rsidRPr="00030932">
        <w:rPr>
          <w:rFonts w:cstheme="minorHAnsi"/>
          <w:sz w:val="16"/>
          <w:szCs w:val="16"/>
        </w:rPr>
        <w:fldChar w:fldCharType="end"/>
      </w:r>
    </w:p>
  </w:footnote>
  <w:footnote w:id="90">
    <w:p w14:paraId="2ACA79FC" w14:textId="2646A878" w:rsidR="007E418F" w:rsidRPr="00030932" w:rsidRDefault="007E418F">
      <w:pPr>
        <w:pStyle w:val="FootnoteText"/>
        <w:rPr>
          <w:sz w:val="16"/>
          <w:szCs w:val="16"/>
        </w:rPr>
      </w:pPr>
      <w:r w:rsidRPr="00030932">
        <w:rPr>
          <w:rStyle w:val="FootnoteReference"/>
          <w:sz w:val="16"/>
          <w:szCs w:val="16"/>
        </w:rPr>
        <w:footnoteRef/>
      </w:r>
      <w:r w:rsidRPr="00030932">
        <w:rPr>
          <w:sz w:val="16"/>
          <w:szCs w:val="16"/>
        </w:rPr>
        <w:t xml:space="preserve"> </w:t>
      </w:r>
      <w:r w:rsidRPr="00030932">
        <w:rPr>
          <w:sz w:val="16"/>
          <w:szCs w:val="16"/>
        </w:rPr>
        <w:fldChar w:fldCharType="begin"/>
      </w:r>
      <w:r>
        <w:rPr>
          <w:sz w:val="16"/>
          <w:szCs w:val="16"/>
        </w:rPr>
        <w:instrText xml:space="preserve"> ADDIN ZOTERO_ITEM CSL_CITATION {"citationID":"giWkMk9I","properties":{"formattedCitation":"Ibid; Jonah Bossewitch et al, {\\i{}Digital Futures in Mind: Reflecting on Technological Experiments in Mental Health &amp; Crisis Support} (University of Melbourne, 2022) &lt;https://automatingmentalhealth.cc/media/pages/digital-futures-in-mind-report/ba660f37e9-1662080126/digital-futures-in-mind-report-aug-2022-final.pdf&gt;.","plainCitation":"Ibid; Jonah Bossewitch et al, Digital Futures in Mind: Reflecting on Technological Experiments in Mental Health &amp; Crisis Support (University of Melbourne, 2022) &lt;https://automatingmentalhealth.cc/media/pages/digital-futures-in-mind-report/ba660f37e9-1662080126/digital-futures-in-mind-report-aug-2022-final.pdf&gt;.","noteIndex":194},"citationItems":[{"id":1956,"uris":["http://zotero.org/users/local/OLPofQUL/items/BYDZLMXQ"],"itemData":{"id":1956,"type":"article-journal","container-title":"Journal of bioethical inquiry","issue":"4","note":"ISBN: 1872-4353\npublisher: Springer","page":"541-546","title":"Semi-automated care: Video-algorithmic patient monitoring and surveillance in care settings","volume":"18","author":[{"family":"Gooding","given":"Piers M."},{"family":"Clifford","given":"David M."}],"issued":{"date-parts":[["2021"]]}}},{"id":1836,"uris":["http://zotero.org/users/local/OLPofQUL/items/GS85B9WA"],"itemData":{"id":1836,"type":"report","event-place":"Melbourne, VIC, Australia","publisher":"University of Melbourne","publisher-place":"Melbourne, VIC, Australia","title":"Digital Futures in Mind: Reflecting on Technological Experiments in Mental Health &amp; Crisis Support","URL":"https://automatingmentalhealth.cc/media/pages/digital-futures-in-mind-report/ba660f37e9-1662080126/digital-futures-in-mind-report-aug-2022-final.pdf","author":[{"family":"Bossewitch","given":"Jonah"},{"family":"Brown","given":"Lydia X. Z."},{"family":"Gooding","given":"Piers"},{"family":"Harris","given":"Leah"},{"family":"Horton","given":"James"},{"family":"Katterl","given":"Simon"},{"family":"Myrick","given":"Keris"},{"family":"Ubozoh","given":"Kelechi"},{"family":"Vasquez","given":"Alberto"}],"issued":{"date-parts":[["2022"]]}}}],"schema":"https://github.com/citation-style-language/schema/raw/master/csl-citation.json"} </w:instrText>
      </w:r>
      <w:r w:rsidRPr="00030932">
        <w:rPr>
          <w:sz w:val="16"/>
          <w:szCs w:val="16"/>
        </w:rPr>
        <w:fldChar w:fldCharType="separate"/>
      </w:r>
      <w:r w:rsidRPr="00030932">
        <w:rPr>
          <w:rFonts w:ascii="Calibri" w:hAnsi="Calibri" w:cs="Calibri"/>
          <w:sz w:val="16"/>
          <w:szCs w:val="16"/>
        </w:rPr>
        <w:t xml:space="preserve">Ibid; Jonah Bossewitch et al, </w:t>
      </w:r>
      <w:r w:rsidRPr="00030932">
        <w:rPr>
          <w:rFonts w:ascii="Calibri" w:hAnsi="Calibri" w:cs="Calibri"/>
          <w:i/>
          <w:iCs/>
          <w:sz w:val="16"/>
          <w:szCs w:val="16"/>
        </w:rPr>
        <w:t>Digital Futures in Mind: Reflecting on Technological Experiments in Mental Health &amp; Crisis Support</w:t>
      </w:r>
      <w:r w:rsidRPr="00030932">
        <w:rPr>
          <w:rFonts w:ascii="Calibri" w:hAnsi="Calibri" w:cs="Calibri"/>
          <w:sz w:val="16"/>
          <w:szCs w:val="16"/>
        </w:rPr>
        <w:t xml:space="preserve"> (University of Melbourne, 2022) &lt;https://automatingmentalhealth.cc/media/pages/digital-futures-in-mind-report/ba660f37e9-1662080126/digital-futures-in-mind-report-aug-2022-final.pdf&gt;.</w:t>
      </w:r>
      <w:r w:rsidRPr="00030932">
        <w:rPr>
          <w:sz w:val="16"/>
          <w:szCs w:val="16"/>
        </w:rPr>
        <w:fldChar w:fldCharType="end"/>
      </w:r>
    </w:p>
  </w:footnote>
  <w:footnote w:id="91">
    <w:p w14:paraId="5862B55C" w14:textId="77777777" w:rsidR="007E418F" w:rsidRPr="00030932" w:rsidRDefault="007E418F">
      <w:pPr>
        <w:pStyle w:val="FootnoteText"/>
        <w:rPr>
          <w:sz w:val="16"/>
          <w:szCs w:val="16"/>
        </w:rPr>
      </w:pPr>
      <w:r w:rsidRPr="00030932">
        <w:rPr>
          <w:rStyle w:val="FootnoteReference"/>
          <w:sz w:val="16"/>
          <w:szCs w:val="16"/>
        </w:rPr>
        <w:footnoteRef/>
      </w:r>
      <w:r w:rsidRPr="00030932">
        <w:rPr>
          <w:sz w:val="16"/>
          <w:szCs w:val="16"/>
        </w:rPr>
        <w:t xml:space="preserve"> </w:t>
      </w:r>
      <w:r w:rsidRPr="00030932">
        <w:rPr>
          <w:sz w:val="16"/>
          <w:szCs w:val="16"/>
        </w:rPr>
        <w:fldChar w:fldCharType="begin"/>
      </w:r>
      <w:r w:rsidRPr="00030932">
        <w:rPr>
          <w:sz w:val="16"/>
          <w:szCs w:val="16"/>
        </w:rPr>
        <w:instrText xml:space="preserve"> ADDIN ZOTERO_ITEM CSL_CITATION {"citationID":"LdDhTzXT","properties":{"formattedCitation":"Read about how one consumer lost their pet, Cinnamon: Victoria Legal Aid (n 8) 16.","plainCitation":"Read about how one consumer lost their pet, Cinnamon: Victoria Legal Aid (n 8) 16.","noteIndex":310},"citationItems":[{"id":56,"uris":["http://zotero.org/users/local/OLPofQUL/items/NAESJ9R5"],"itemData":{"id":56,"type":"report","event-place":"Victoria Legal Aid","publisher":"Victoria Legal Aid","publisher-place":"Victoria Legal Aid","title":"Your story, your say: Consumers' priority issues and solutions for the Royal Commission into Victoria's Mental Health System","URL":"https://www.legalaid.vic.gov.au/sites/www.legalaid.vic.gov.au/files/vla-your-story-your-say-report.pdf","author":[{"literal":"Victoria Legal Aid"}],"issued":{"date-parts":[["2020"]]}},"locator":"16","label":"page","prefix":"Read about how one consumer lost their pet, Cinnamon:"}],"schema":"https://github.com/citation-style-language/schema/raw/master/csl-citation.json"} </w:instrText>
      </w:r>
      <w:r w:rsidRPr="00030932">
        <w:rPr>
          <w:sz w:val="16"/>
          <w:szCs w:val="16"/>
        </w:rPr>
        <w:fldChar w:fldCharType="separate"/>
      </w:r>
      <w:r w:rsidRPr="00030932">
        <w:rPr>
          <w:rFonts w:ascii="Calibri" w:hAnsi="Calibri" w:cs="Calibri"/>
          <w:sz w:val="16"/>
          <w:szCs w:val="16"/>
        </w:rPr>
        <w:t>Read about how one consumer lost their pet, Cinnamon: Victoria Legal Aid (n 8) 16.</w:t>
      </w:r>
      <w:r w:rsidRPr="00030932">
        <w:rPr>
          <w:sz w:val="16"/>
          <w:szCs w:val="16"/>
        </w:rPr>
        <w:fldChar w:fldCharType="end"/>
      </w:r>
    </w:p>
  </w:footnote>
  <w:footnote w:id="92">
    <w:p w14:paraId="1D431073" w14:textId="0347048A" w:rsidR="00761449" w:rsidRPr="00030932" w:rsidRDefault="00761449">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E33440" w:rsidRPr="00030932">
        <w:rPr>
          <w:rFonts w:cstheme="minorHAnsi"/>
          <w:sz w:val="16"/>
          <w:szCs w:val="16"/>
        </w:rPr>
        <w:instrText xml:space="preserve"> ADDIN ZOTERO_ITEM CSL_CITATION {"citationID":"oD5pO5Lf","properties":{"formattedCitation":"Mari Stenlund, \\uc0\\u8216{}The Freedom of Belief and Opinion of People with Psychosis: The Viewpoint of the Capabilities Approach\\uc0\\u8217{} (2017) 46(1) {\\i{}International Journal of Mental Health} 18.","plainCitation":"Mari Stenlund, ‘The Freedom of Belief and Opinion of People with Psychosis: The Viewpoint of the Capabilities Approach’ (2017) 46(1) International Journal of Mental Health 18.","noteIndex":196},"citationItems":[{"id":1995,"uris":["http://zotero.org/users/local/OLPofQUL/items/2RL4PKNW"],"itemData":{"id":1995,"type":"article-journal","container-title":"International Journal of Mental Health","issue":"1","note":"ISBN: 0020-7411\npublisher: Taylor &amp; Francis","page":"18-37","title":"The freedom of belief and opinion of people with psychosis: The viewpoint of the capabilities approach","volume":"46","author":[{"family":"Stenlund","given":"Mari"}],"issued":{"date-parts":[["2017"]]}}}],"schema":"https://github.com/citation-style-language/schema/raw/master/csl-citation.json"} </w:instrText>
      </w:r>
      <w:r w:rsidRPr="00030932">
        <w:rPr>
          <w:rFonts w:cstheme="minorHAnsi"/>
          <w:sz w:val="16"/>
          <w:szCs w:val="16"/>
        </w:rPr>
        <w:fldChar w:fldCharType="separate"/>
      </w:r>
      <w:r w:rsidRPr="00030932">
        <w:rPr>
          <w:rFonts w:cstheme="minorHAnsi"/>
          <w:sz w:val="16"/>
          <w:szCs w:val="16"/>
        </w:rPr>
        <w:t xml:space="preserve">Mari Stenlund, ‘The Freedom of Belief and Opinion of People with Psychosis: The Viewpoint of the Capabilities Approach’ (2017) 46(1) </w:t>
      </w:r>
      <w:r w:rsidRPr="00030932">
        <w:rPr>
          <w:rFonts w:cstheme="minorHAnsi"/>
          <w:i/>
          <w:iCs/>
          <w:sz w:val="16"/>
          <w:szCs w:val="16"/>
        </w:rPr>
        <w:t>International Journal of Mental Health</w:t>
      </w:r>
      <w:r w:rsidRPr="00030932">
        <w:rPr>
          <w:rFonts w:cstheme="minorHAnsi"/>
          <w:sz w:val="16"/>
          <w:szCs w:val="16"/>
        </w:rPr>
        <w:t xml:space="preserve"> 18.</w:t>
      </w:r>
      <w:r w:rsidRPr="00030932">
        <w:rPr>
          <w:rFonts w:cstheme="minorHAnsi"/>
          <w:sz w:val="16"/>
          <w:szCs w:val="16"/>
        </w:rPr>
        <w:fldChar w:fldCharType="end"/>
      </w:r>
    </w:p>
  </w:footnote>
  <w:footnote w:id="93">
    <w:p w14:paraId="2870D86E" w14:textId="2AD37755" w:rsidR="00A85E8F" w:rsidRPr="00030932" w:rsidRDefault="00A85E8F">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5A3579">
        <w:rPr>
          <w:rFonts w:cstheme="minorHAnsi"/>
          <w:sz w:val="16"/>
          <w:szCs w:val="16"/>
        </w:rPr>
        <w:instrText xml:space="preserve"> ADDIN ZOTERO_ITEM CSL_CITATION {"citationID":"k5DOKc6w","properties":{"formattedCitation":"Terms like \\uc0\\u8216{}hallucinations\\uc0\\u8217{} and \\uc0\\u8216{}delusions\\uc0\\u8217{} can be experienced as harmful for individuals who hear voices and have unusual beliefs and who do not understand their experiences through a biomedical frame: Dirk Corstens et al, \\uc0\\u8216{}Emerging Perspectives from the Hearing Voices Movement: Implications for Research and Practice\\uc0\\u8217{} (2014) 40(Suppl_4) {\\i{}Schizophrenia bulletin} S285.","plainCitation":"Terms like ‘hallucinations’ and ‘delusions’ can be experienced as harmful for individuals who hear voices and have unusual beliefs and who do not understand their experiences through a biomedical frame: Dirk Corstens et al, ‘Emerging Perspectives from the Hearing Voices Movement: Implications for Research and Practice’ (2014) 40(Suppl_4) Schizophrenia bulletin S285.","dontUpdate":true,"noteIndex":199},"citationItems":[{"id":1996,"uris":["http://zotero.org/users/local/OLPofQUL/items/5YBE6KFD"],"itemData":{"id":1996,"type":"article-journal","container-title":"Schizophrenia bulletin","issue":"Suppl_4","note":"ISBN: 1745-1701\npublisher: Oxford University Press US","page":"S285-S294","title":"Emerging perspectives from the hearing voices movement: implications for research and practice","volume":"40","author":[{"family":"Corstens","given":"Dirk"},{"family":"Longden","given":"Eleanor"},{"family":"McCarthy-Jones","given":"Simon"},{"family":"Waddingham","given":"Rachel"},{"family":"Thomas","given":"Neil"}],"issued":{"date-parts":[["2014"]]}},"label":"page","prefix":"Terms like \"hallucinations\" and \"delusions\" can be experienced as harmful for individuals who hear voices and have unusual beliefs and who do not understand their experiences through a biomedical frame:"}],"schema":"https://github.com/citation-style-language/schema/raw/master/csl-citation.json"} </w:instrText>
      </w:r>
      <w:r w:rsidRPr="00030932">
        <w:rPr>
          <w:rFonts w:cstheme="minorHAnsi"/>
          <w:sz w:val="16"/>
          <w:szCs w:val="16"/>
        </w:rPr>
        <w:fldChar w:fldCharType="separate"/>
      </w:r>
      <w:r w:rsidRPr="00030932">
        <w:rPr>
          <w:rFonts w:cstheme="minorHAnsi"/>
          <w:sz w:val="16"/>
          <w:szCs w:val="16"/>
        </w:rPr>
        <w:t>Terms like ‘hallucinations’ and ‘delusions’ can be experienced as harmful for individuals who hear voices and have unusual beliefs and who do not understand their experiences through a biomedical frame: Dirk Corstens et al, ‘Emerging Perspectives from the Hearing Voices Movement: Implications for Research and Practice’ (2014) 40</w:t>
      </w:r>
      <w:r w:rsidR="00517419" w:rsidRPr="00030932">
        <w:rPr>
          <w:rFonts w:cstheme="minorHAnsi"/>
          <w:sz w:val="16"/>
          <w:szCs w:val="16"/>
        </w:rPr>
        <w:t xml:space="preserve"> </w:t>
      </w:r>
      <w:r w:rsidRPr="00030932">
        <w:rPr>
          <w:rFonts w:cstheme="minorHAnsi"/>
          <w:sz w:val="16"/>
          <w:szCs w:val="16"/>
        </w:rPr>
        <w:t xml:space="preserve">(Suppl_4) </w:t>
      </w:r>
      <w:r w:rsidRPr="00030932">
        <w:rPr>
          <w:rFonts w:cstheme="minorHAnsi"/>
          <w:i/>
          <w:iCs/>
          <w:sz w:val="16"/>
          <w:szCs w:val="16"/>
        </w:rPr>
        <w:t>Schizophrenia bulletin</w:t>
      </w:r>
      <w:r w:rsidRPr="00030932">
        <w:rPr>
          <w:rFonts w:cstheme="minorHAnsi"/>
          <w:sz w:val="16"/>
          <w:szCs w:val="16"/>
        </w:rPr>
        <w:t xml:space="preserve"> S285.</w:t>
      </w:r>
      <w:r w:rsidRPr="00030932">
        <w:rPr>
          <w:rFonts w:cstheme="minorHAnsi"/>
          <w:sz w:val="16"/>
          <w:szCs w:val="16"/>
        </w:rPr>
        <w:fldChar w:fldCharType="end"/>
      </w:r>
    </w:p>
  </w:footnote>
  <w:footnote w:id="94">
    <w:p w14:paraId="7C5AFE11" w14:textId="286556C3" w:rsidR="00AA6C5E" w:rsidRPr="00030932" w:rsidRDefault="00AA6C5E">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5A3579">
        <w:rPr>
          <w:rFonts w:cstheme="minorHAnsi"/>
          <w:sz w:val="16"/>
          <w:szCs w:val="16"/>
        </w:rPr>
        <w:instrText xml:space="preserve"> ADDIN ZOTERO_ITEM CSL_CITATION {"citationID":"6nvt1pgq","properties":{"formattedCitation":"Ibid.","plainCitation":"Ibid.","noteIndex":200},"citationItems":[{"id":1996,"uris":["http://zotero.org/users/local/OLPofQUL/items/5YBE6KFD"],"itemData":{"id":1996,"type":"article-journal","container-title":"Schizophrenia bulletin","issue":"Suppl_4","note":"ISBN: 1745-1701\npublisher: Oxford University Press US","page":"S285-S294","title":"Emerging perspectives from the hearing voices movement: implications for research and practice","volume":"40","author":[{"family":"Corstens","given":"Dirk"},{"family":"Longden","given":"Eleanor"},{"family":"McCarthy-Jones","given":"Simon"},{"family":"Waddingham","given":"Rachel"},{"family":"Thomas","given":"Neil"}],"issued":{"date-parts":[["2014"]]}}}],"schema":"https://github.com/citation-style-language/schema/raw/master/csl-citation.json"} </w:instrText>
      </w:r>
      <w:r w:rsidRPr="00030932">
        <w:rPr>
          <w:rFonts w:cstheme="minorHAnsi"/>
          <w:sz w:val="16"/>
          <w:szCs w:val="16"/>
        </w:rPr>
        <w:fldChar w:fldCharType="separate"/>
      </w:r>
      <w:r w:rsidRPr="00030932">
        <w:rPr>
          <w:rFonts w:cstheme="minorHAnsi"/>
          <w:sz w:val="16"/>
          <w:szCs w:val="16"/>
        </w:rPr>
        <w:t>Ibid.</w:t>
      </w:r>
      <w:r w:rsidRPr="00030932">
        <w:rPr>
          <w:rFonts w:cstheme="minorHAnsi"/>
          <w:sz w:val="16"/>
          <w:szCs w:val="16"/>
        </w:rPr>
        <w:fldChar w:fldCharType="end"/>
      </w:r>
    </w:p>
  </w:footnote>
  <w:footnote w:id="95">
    <w:p w14:paraId="694269E1" w14:textId="1F086F14" w:rsidR="00B144E2" w:rsidRPr="00030932" w:rsidRDefault="00B144E2">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E33440" w:rsidRPr="00030932">
        <w:rPr>
          <w:rFonts w:cstheme="minorHAnsi"/>
          <w:sz w:val="16"/>
          <w:szCs w:val="16"/>
        </w:rPr>
        <w:instrText xml:space="preserve"> ADDIN ZOTERO_ITEM CSL_CITATION {"citationID":"8Suipgdg","properties":{"formattedCitation":"For brief information on how VMIAC members - who are more representative of people using public mental health services - understand their language preferences, see: Victorian Mental Illness Awareness Council, {\\i{}Response to Royal Commission: Issues Affecting Consumers Labelled with \\uc0\\u8220{}serious and Persistent Mental Illness\"} (2020) 6\\uc0\\u8211{}7 &lt;https://www.vmiac.org.au/wp-content/uploads/Response-to-Royal-Commission-request-.pdf&gt;.","plainCitation":"For brief information on how VMIAC members - who are more representative of people using public mental health services - understand their language preferences, see: Victorian Mental Illness Awareness Council, Response to Royal Commission: Issues Affecting Consumers Labelled with “serious and Persistent Mental Illness\" (2020) 6–7 &lt;https://www.vmiac.org.au/wp-content/uploads/Response-to-Royal-Commission-request-.pdf&gt;.","noteIndex":199},"citationItems":[{"id":68,"uris":["http://zotero.org/users/local/OLPofQUL/items/H2HJ4Q3G"],"itemData":{"id":68,"type":"report","title":"Response to Royal Commission: issues affecting consumers labelled with “serious and persistent mental illness\"","URL":"https://www.vmiac.org.au/wp-content/uploads/Response-to-Royal-Commission-request-.pdf","author":[{"literal":"Victorian Mental Illness Awareness Council"}],"issued":{"date-parts":[["2020"]]}},"locator":"6-7","label":"page","prefix":"For brief information on how VMIAC members - who are more representative of people using public mental health services - understand their language preferences, see:"}],"schema":"https://github.com/citation-style-language/schema/raw/master/csl-citation.json"} </w:instrText>
      </w:r>
      <w:r w:rsidRPr="00030932">
        <w:rPr>
          <w:rFonts w:cstheme="minorHAnsi"/>
          <w:sz w:val="16"/>
          <w:szCs w:val="16"/>
        </w:rPr>
        <w:fldChar w:fldCharType="separate"/>
      </w:r>
      <w:r w:rsidR="00E33440" w:rsidRPr="00030932">
        <w:rPr>
          <w:rFonts w:ascii="Calibri" w:hAnsi="Calibri" w:cs="Calibri"/>
          <w:sz w:val="16"/>
          <w:szCs w:val="16"/>
        </w:rPr>
        <w:t xml:space="preserve">For brief information on how VMIAC members - who are more representative of people using public mental health services - understand their language preferences, see: Victorian Mental Illness Awareness Council, </w:t>
      </w:r>
      <w:r w:rsidR="00E33440" w:rsidRPr="00030932">
        <w:rPr>
          <w:rFonts w:ascii="Calibri" w:hAnsi="Calibri" w:cs="Calibri"/>
          <w:i/>
          <w:iCs/>
          <w:sz w:val="16"/>
          <w:szCs w:val="16"/>
        </w:rPr>
        <w:t>Response to Royal Commission: Issues Affecting Consumers Labelled with “serious and Persistent Mental Illness"</w:t>
      </w:r>
      <w:r w:rsidR="00E33440" w:rsidRPr="00030932">
        <w:rPr>
          <w:rFonts w:ascii="Calibri" w:hAnsi="Calibri" w:cs="Calibri"/>
          <w:sz w:val="16"/>
          <w:szCs w:val="16"/>
        </w:rPr>
        <w:t xml:space="preserve"> (2020) 6–7 &lt;https://www.vmiac.org.au/wp-content/uploads/Response-to-Royal-Commission-request-.pdf&gt;.</w:t>
      </w:r>
      <w:r w:rsidRPr="00030932">
        <w:rPr>
          <w:rFonts w:cstheme="minorHAnsi"/>
          <w:sz w:val="16"/>
          <w:szCs w:val="16"/>
        </w:rPr>
        <w:fldChar w:fldCharType="end"/>
      </w:r>
    </w:p>
  </w:footnote>
  <w:footnote w:id="96">
    <w:p w14:paraId="69804153" w14:textId="77777777" w:rsidR="00680559" w:rsidRPr="00030932" w:rsidRDefault="00680559" w:rsidP="00680559">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rPr>
        <w:t xml:space="preserve">Church of New Faith v Commissioner of Pay-roll Tax (Vic) </w:t>
      </w:r>
      <w:r w:rsidRPr="00030932">
        <w:rPr>
          <w:rFonts w:cstheme="minorHAnsi"/>
          <w:sz w:val="16"/>
          <w:szCs w:val="16"/>
        </w:rPr>
        <w:t xml:space="preserve">(1983) 154 CLR 120 at 136. It should be noted that this definition emerges from within the context of questions about whether certain belief systems should be considered religions for tax purposes. </w:t>
      </w:r>
    </w:p>
  </w:footnote>
  <w:footnote w:id="97">
    <w:p w14:paraId="107D9ACF" w14:textId="72F0C934" w:rsidR="002C4F56" w:rsidRPr="00030932" w:rsidRDefault="002C4F56">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rPr>
        <w:t xml:space="preserve">R v District Court; Ex parte White </w:t>
      </w:r>
      <w:r w:rsidRPr="00030932">
        <w:rPr>
          <w:rFonts w:cstheme="minorHAnsi"/>
          <w:sz w:val="16"/>
          <w:szCs w:val="16"/>
        </w:rPr>
        <w:t xml:space="preserve">(1966) 116 CLR 644 at </w:t>
      </w:r>
      <w:r w:rsidR="001D13DE" w:rsidRPr="00030932">
        <w:rPr>
          <w:rFonts w:cstheme="minorHAnsi"/>
          <w:sz w:val="16"/>
          <w:szCs w:val="16"/>
        </w:rPr>
        <w:t xml:space="preserve">661; </w:t>
      </w:r>
      <w:r w:rsidR="001D13DE" w:rsidRPr="00030932">
        <w:rPr>
          <w:rFonts w:cstheme="minorHAnsi"/>
          <w:i/>
          <w:iCs/>
          <w:sz w:val="16"/>
          <w:szCs w:val="16"/>
        </w:rPr>
        <w:t xml:space="preserve">R v District Court (Queensland Northern District); Ex parte Thompson </w:t>
      </w:r>
      <w:r w:rsidR="001D13DE" w:rsidRPr="00030932">
        <w:rPr>
          <w:rFonts w:cstheme="minorHAnsi"/>
          <w:sz w:val="16"/>
          <w:szCs w:val="16"/>
        </w:rPr>
        <w:t>(1968) 118 CLR 488 at 492.</w:t>
      </w:r>
    </w:p>
  </w:footnote>
  <w:footnote w:id="98">
    <w:p w14:paraId="45EC6BC5" w14:textId="33638DEA" w:rsidR="00C27FA1" w:rsidRPr="00030932" w:rsidRDefault="00C27FA1">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rPr>
        <w:t xml:space="preserve">Christian Youth Camps Ltd v Cobaw Community Health Services </w:t>
      </w:r>
      <w:r w:rsidRPr="00030932">
        <w:rPr>
          <w:rFonts w:cstheme="minorHAnsi"/>
          <w:sz w:val="16"/>
          <w:szCs w:val="16"/>
        </w:rPr>
        <w:t>(2014) 50 VR 256; [2014] VSCA 75 at [</w:t>
      </w:r>
      <w:r w:rsidR="00323C19" w:rsidRPr="00030932">
        <w:rPr>
          <w:rFonts w:cstheme="minorHAnsi"/>
          <w:sz w:val="16"/>
          <w:szCs w:val="16"/>
        </w:rPr>
        <w:t xml:space="preserve">537]. </w:t>
      </w:r>
    </w:p>
  </w:footnote>
  <w:footnote w:id="99">
    <w:p w14:paraId="2665FD3A" w14:textId="6958CB66" w:rsidR="009B4767" w:rsidRPr="00030932" w:rsidRDefault="009B4767">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00B25E91" w:rsidRPr="00030932">
        <w:rPr>
          <w:rFonts w:cstheme="minorHAnsi"/>
          <w:sz w:val="16"/>
          <w:szCs w:val="16"/>
        </w:rPr>
        <w:t xml:space="preserve">See for example laws to outlaw </w:t>
      </w:r>
      <w:r w:rsidR="00133DCB" w:rsidRPr="00030932">
        <w:rPr>
          <w:rFonts w:cstheme="minorHAnsi"/>
          <w:sz w:val="16"/>
          <w:szCs w:val="16"/>
        </w:rPr>
        <w:t xml:space="preserve">displaying the Nazi sign publicly: </w:t>
      </w:r>
      <w:r w:rsidRPr="00030932">
        <w:rPr>
          <w:rFonts w:cstheme="minorHAnsi"/>
          <w:sz w:val="16"/>
          <w:szCs w:val="16"/>
        </w:rPr>
        <w:t xml:space="preserve">Victoria, </w:t>
      </w:r>
      <w:r w:rsidRPr="00030932">
        <w:rPr>
          <w:rFonts w:cstheme="minorHAnsi"/>
          <w:i/>
          <w:iCs/>
          <w:sz w:val="16"/>
          <w:szCs w:val="16"/>
        </w:rPr>
        <w:t xml:space="preserve">Parliamentary </w:t>
      </w:r>
      <w:r w:rsidRPr="00030932">
        <w:rPr>
          <w:rFonts w:cstheme="minorHAnsi"/>
          <w:sz w:val="16"/>
          <w:szCs w:val="16"/>
        </w:rPr>
        <w:t>Debates, Legislative Assembly (Statement of Compatibility)</w:t>
      </w:r>
      <w:r w:rsidR="00517E54" w:rsidRPr="00030932">
        <w:rPr>
          <w:rFonts w:cstheme="minorHAnsi"/>
          <w:sz w:val="16"/>
          <w:szCs w:val="16"/>
        </w:rPr>
        <w:t xml:space="preserve"> 12 May 2022,</w:t>
      </w:r>
      <w:r w:rsidRPr="00030932">
        <w:rPr>
          <w:rFonts w:cstheme="minorHAnsi"/>
          <w:sz w:val="16"/>
          <w:szCs w:val="16"/>
        </w:rPr>
        <w:t xml:space="preserve"> </w:t>
      </w:r>
      <w:r w:rsidR="00517E54" w:rsidRPr="00030932">
        <w:rPr>
          <w:rFonts w:cstheme="minorHAnsi"/>
          <w:sz w:val="16"/>
          <w:szCs w:val="16"/>
        </w:rPr>
        <w:t>1717-1718.</w:t>
      </w:r>
    </w:p>
  </w:footnote>
  <w:footnote w:id="100">
    <w:p w14:paraId="3152433F" w14:textId="2014E9A4" w:rsidR="004F5E29" w:rsidRPr="00030932" w:rsidRDefault="004F5E29">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In </w:t>
      </w:r>
      <w:r w:rsidRPr="00030932">
        <w:rPr>
          <w:rFonts w:cstheme="minorHAnsi"/>
          <w:i/>
          <w:sz w:val="16"/>
          <w:szCs w:val="16"/>
        </w:rPr>
        <w:t xml:space="preserve">McAdam v Victoria University </w:t>
      </w:r>
      <w:r w:rsidRPr="00030932">
        <w:rPr>
          <w:rFonts w:cstheme="minorHAnsi"/>
          <w:sz w:val="16"/>
          <w:szCs w:val="16"/>
        </w:rPr>
        <w:t xml:space="preserve">[2010] VCAT 1429 the </w:t>
      </w:r>
      <w:r w:rsidR="00DE2E90" w:rsidRPr="00030932">
        <w:rPr>
          <w:rFonts w:cstheme="minorHAnsi"/>
          <w:sz w:val="16"/>
          <w:szCs w:val="16"/>
        </w:rPr>
        <w:t xml:space="preserve">Tribunal found that these beliefs could constitute non-religious beliefs </w:t>
      </w:r>
      <w:r w:rsidR="00FF3DED" w:rsidRPr="00030932">
        <w:rPr>
          <w:rFonts w:cstheme="minorHAnsi"/>
          <w:sz w:val="16"/>
          <w:szCs w:val="16"/>
        </w:rPr>
        <w:t>under section 14 of the Charter.</w:t>
      </w:r>
    </w:p>
  </w:footnote>
  <w:footnote w:id="101">
    <w:p w14:paraId="269A7312" w14:textId="77777777" w:rsidR="00737132" w:rsidRPr="00030932" w:rsidRDefault="00737132" w:rsidP="00737132">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sz w:val="16"/>
          <w:szCs w:val="16"/>
        </w:rPr>
        <w:t xml:space="preserve">Haigh v Ryan </w:t>
      </w:r>
      <w:r w:rsidRPr="00030932">
        <w:rPr>
          <w:rFonts w:cstheme="minorHAnsi"/>
          <w:sz w:val="16"/>
          <w:szCs w:val="16"/>
        </w:rPr>
        <w:t>[2018] VSC 474 at [57].</w:t>
      </w:r>
    </w:p>
  </w:footnote>
  <w:footnote w:id="102">
    <w:p w14:paraId="3F49E009" w14:textId="04D328F9" w:rsidR="00A07915" w:rsidRPr="00030932" w:rsidRDefault="00A07915">
      <w:pPr>
        <w:pStyle w:val="FootnoteText"/>
        <w:rPr>
          <w:sz w:val="16"/>
          <w:szCs w:val="16"/>
        </w:rPr>
      </w:pPr>
      <w:r w:rsidRPr="00030932">
        <w:rPr>
          <w:rStyle w:val="FootnoteReference"/>
          <w:sz w:val="16"/>
          <w:szCs w:val="16"/>
        </w:rPr>
        <w:footnoteRef/>
      </w:r>
      <w:r w:rsidRPr="00030932">
        <w:rPr>
          <w:sz w:val="16"/>
          <w:szCs w:val="16"/>
        </w:rPr>
        <w:t xml:space="preserve"> </w:t>
      </w:r>
      <w:r w:rsidRPr="00030932">
        <w:rPr>
          <w:rFonts w:cstheme="minorHAnsi"/>
          <w:sz w:val="16"/>
          <w:szCs w:val="16"/>
        </w:rPr>
        <w:t xml:space="preserve">In </w:t>
      </w:r>
      <w:r w:rsidRPr="00030932">
        <w:rPr>
          <w:rFonts w:cstheme="minorHAnsi"/>
          <w:i/>
          <w:sz w:val="16"/>
          <w:szCs w:val="16"/>
        </w:rPr>
        <w:t xml:space="preserve">R v Chaarani (Ruling No 1) </w:t>
      </w:r>
      <w:r w:rsidRPr="00030932">
        <w:rPr>
          <w:rFonts w:cstheme="minorHAnsi"/>
          <w:sz w:val="16"/>
          <w:szCs w:val="16"/>
        </w:rPr>
        <w:t xml:space="preserve">[2018] VSC 387, the Court held that refusing permission for a woman to wear a niqab while sitting in the public gallery was a legitimate restriction on that right for security purposes (as it was deemed necessary to see a person’s face). Though the Court did allow other arrangements for the woman to watch a live stream. In </w:t>
      </w:r>
      <w:r w:rsidRPr="00030932">
        <w:rPr>
          <w:rFonts w:cstheme="minorHAnsi"/>
          <w:i/>
          <w:sz w:val="16"/>
          <w:szCs w:val="16"/>
        </w:rPr>
        <w:t xml:space="preserve">Arora v Melton Christian College (Human Rights) </w:t>
      </w:r>
      <w:r w:rsidRPr="00030932">
        <w:rPr>
          <w:rFonts w:cstheme="minorHAnsi"/>
          <w:sz w:val="16"/>
          <w:szCs w:val="16"/>
        </w:rPr>
        <w:t>[2017] VCAT 1507 the Tribunal found that a seemingly neutral policy that required students to have short hair and not wear head coverings disadvantaged people from non-Christian faiths.</w:t>
      </w:r>
    </w:p>
  </w:footnote>
  <w:footnote w:id="103">
    <w:p w14:paraId="7938D8A0" w14:textId="704D4676" w:rsidR="006E0ED7" w:rsidRPr="00030932" w:rsidRDefault="006E0ED7">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E33440" w:rsidRPr="00030932">
        <w:rPr>
          <w:rFonts w:cstheme="minorHAnsi"/>
          <w:sz w:val="16"/>
          <w:szCs w:val="16"/>
        </w:rPr>
        <w:instrText xml:space="preserve"> ADDIN ZOTERO_ITEM CSL_CITATION {"citationID":"uRypApY2","properties":{"formattedCitation":"For a perspective that favours and privileges this right, see: Eric Heinze, {\\i{}The Most Human Right: Why Free Speech Is Everything} (MIT Press, 2022).","plainCitation":"For a perspective that favours and privileges this right, see: Eric Heinze, The Most Human Right: Why Free Speech Is Everything (MIT Press, 2022).","noteIndex":214},"citationItems":[{"id":1997,"uris":["http://zotero.org/users/local/OLPofQUL/items/K9K3X6RW"],"itemData":{"id":1997,"type":"book","ISBN":"0-262-36832-3","publisher":"MIT Press","title":"The Most Human Right: Why Free Speech is Everything","author":[{"family":"Heinze","given":"Eric"}],"issued":{"date-parts":[["2022"]]}},"label":"page","prefix":"For a perspective that favours and privileges this right, see:"}],"schema":"https://github.com/citation-style-language/schema/raw/master/csl-citation.json"} </w:instrText>
      </w:r>
      <w:r w:rsidRPr="00030932">
        <w:rPr>
          <w:rFonts w:cstheme="minorHAnsi"/>
          <w:sz w:val="16"/>
          <w:szCs w:val="16"/>
        </w:rPr>
        <w:fldChar w:fldCharType="separate"/>
      </w:r>
      <w:r w:rsidR="00D80FB4" w:rsidRPr="00030932">
        <w:rPr>
          <w:rFonts w:cstheme="minorHAnsi"/>
          <w:sz w:val="16"/>
          <w:szCs w:val="16"/>
        </w:rPr>
        <w:t xml:space="preserve">For a perspective that favours and privileges this right, see: Eric Heinze, </w:t>
      </w:r>
      <w:r w:rsidR="00D80FB4" w:rsidRPr="00030932">
        <w:rPr>
          <w:rFonts w:cstheme="minorHAnsi"/>
          <w:i/>
          <w:iCs/>
          <w:sz w:val="16"/>
          <w:szCs w:val="16"/>
        </w:rPr>
        <w:t>The Most Human Right: Why Free Speech Is Everything</w:t>
      </w:r>
      <w:r w:rsidR="00D80FB4" w:rsidRPr="00030932">
        <w:rPr>
          <w:rFonts w:cstheme="minorHAnsi"/>
          <w:sz w:val="16"/>
          <w:szCs w:val="16"/>
        </w:rPr>
        <w:t xml:space="preserve"> (MIT Press, 2022).</w:t>
      </w:r>
      <w:r w:rsidRPr="00030932">
        <w:rPr>
          <w:rFonts w:cstheme="minorHAnsi"/>
          <w:sz w:val="16"/>
          <w:szCs w:val="16"/>
        </w:rPr>
        <w:fldChar w:fldCharType="end"/>
      </w:r>
    </w:p>
  </w:footnote>
  <w:footnote w:id="104">
    <w:p w14:paraId="3A19E536" w14:textId="090117A0" w:rsidR="00BA71E3" w:rsidRPr="00030932" w:rsidRDefault="00BA71E3">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00FD039B" w:rsidRPr="00030932">
        <w:rPr>
          <w:rFonts w:cstheme="minorHAnsi"/>
          <w:sz w:val="16"/>
          <w:szCs w:val="16"/>
        </w:rPr>
        <w:fldChar w:fldCharType="begin"/>
      </w:r>
      <w:r w:rsidR="00E33440" w:rsidRPr="00030932">
        <w:rPr>
          <w:rFonts w:cstheme="minorHAnsi"/>
          <w:sz w:val="16"/>
          <w:szCs w:val="16"/>
        </w:rPr>
        <w:instrText xml:space="preserve"> ADDIN ZOTERO_ITEM CSL_CITATION {"citationID":"KDNGVk6y","properties":{"formattedCitation":"Human Rights Committee, {\\i{}General Comment No. 34, Article 19 Freedom of Opinion and Expression)} (102nd session, UN Doc CCPR/C/GC/34 (12 September 2011)).","plainCitation":"Human Rights Committee, General Comment No. 34, Article 19 Freedom of Opinion and Expression) (102nd session, UN Doc CCPR/C/GC/34 (12 September 2011)).","dontUpdate":true,"noteIndex":216},"citationItems":[{"id":2044,"uris":["http://zotero.org/users/local/OLPofQUL/items/T3HG5ZBK"],"itemData":{"id":2044,"type":"book","publisher":"102nd session, UN Doc CCPR/C/GC/34 (12 September 2011)","title":"General Comment no. 34, Article 19 Freedom of opinion and expression)","author":[{"family":"Human Rights Committee","given":""}]}}],"schema":"https://github.com/citation-style-language/schema/raw/master/csl-citation.json"} </w:instrText>
      </w:r>
      <w:r w:rsidR="00FD039B" w:rsidRPr="00030932">
        <w:rPr>
          <w:rFonts w:cstheme="minorHAnsi"/>
          <w:sz w:val="16"/>
          <w:szCs w:val="16"/>
        </w:rPr>
        <w:fldChar w:fldCharType="separate"/>
      </w:r>
      <w:r w:rsidR="00591540" w:rsidRPr="00030932">
        <w:rPr>
          <w:rFonts w:cstheme="minorHAnsi"/>
          <w:sz w:val="16"/>
          <w:szCs w:val="16"/>
        </w:rPr>
        <w:t xml:space="preserve">Human Rights Committee, </w:t>
      </w:r>
      <w:r w:rsidR="00591540" w:rsidRPr="00030932">
        <w:rPr>
          <w:rFonts w:cstheme="minorHAnsi"/>
          <w:i/>
          <w:sz w:val="16"/>
          <w:szCs w:val="16"/>
        </w:rPr>
        <w:t>General Comment No. 34, Article 19 Freedom of Opinion and Expression)</w:t>
      </w:r>
      <w:r w:rsidR="004E1064" w:rsidRPr="00030932">
        <w:rPr>
          <w:rFonts w:cstheme="minorHAnsi"/>
          <w:sz w:val="16"/>
          <w:szCs w:val="16"/>
        </w:rPr>
        <w:t>,</w:t>
      </w:r>
      <w:r w:rsidR="00591540" w:rsidRPr="00030932">
        <w:rPr>
          <w:rFonts w:cstheme="minorHAnsi"/>
          <w:sz w:val="16"/>
          <w:szCs w:val="16"/>
        </w:rPr>
        <w:t xml:space="preserve"> 102nd session, UN Doc CCPR/C/GC/34 (12 September 2011)</w:t>
      </w:r>
      <w:r w:rsidR="004E1064" w:rsidRPr="00030932">
        <w:rPr>
          <w:rFonts w:cstheme="minorHAnsi"/>
          <w:sz w:val="16"/>
          <w:szCs w:val="16"/>
        </w:rPr>
        <w:t xml:space="preserve"> at [9]</w:t>
      </w:r>
      <w:r w:rsidR="00591540" w:rsidRPr="00030932">
        <w:rPr>
          <w:rFonts w:cstheme="minorHAnsi"/>
          <w:sz w:val="16"/>
          <w:szCs w:val="16"/>
        </w:rPr>
        <w:t>.</w:t>
      </w:r>
      <w:r w:rsidR="00FD039B" w:rsidRPr="00030932">
        <w:rPr>
          <w:rFonts w:cstheme="minorHAnsi"/>
          <w:sz w:val="16"/>
          <w:szCs w:val="16"/>
        </w:rPr>
        <w:fldChar w:fldCharType="end"/>
      </w:r>
    </w:p>
  </w:footnote>
  <w:footnote w:id="105">
    <w:p w14:paraId="3832C17B" w14:textId="149D6191" w:rsidR="000C077E" w:rsidRPr="00030932" w:rsidRDefault="000C077E">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sz w:val="16"/>
          <w:szCs w:val="16"/>
        </w:rPr>
        <w:t xml:space="preserve">Eatock v Bolt </w:t>
      </w:r>
      <w:r w:rsidRPr="00030932">
        <w:rPr>
          <w:rFonts w:cstheme="minorHAnsi"/>
          <w:sz w:val="16"/>
          <w:szCs w:val="16"/>
        </w:rPr>
        <w:t>(2011) 197 FCR 261; [2011]</w:t>
      </w:r>
      <w:r w:rsidR="00522477" w:rsidRPr="00030932">
        <w:rPr>
          <w:rFonts w:cstheme="minorHAnsi"/>
          <w:sz w:val="16"/>
          <w:szCs w:val="16"/>
        </w:rPr>
        <w:t xml:space="preserve"> FCA 1103 at [228]</w:t>
      </w:r>
      <w:r w:rsidR="008D7828" w:rsidRPr="00030932">
        <w:rPr>
          <w:rFonts w:cstheme="minorHAnsi"/>
          <w:sz w:val="16"/>
          <w:szCs w:val="16"/>
        </w:rPr>
        <w:t xml:space="preserve"> per Bromberg J</w:t>
      </w:r>
      <w:r w:rsidR="00194F78" w:rsidRPr="00030932">
        <w:rPr>
          <w:rFonts w:cstheme="minorHAnsi"/>
          <w:sz w:val="16"/>
          <w:szCs w:val="16"/>
        </w:rPr>
        <w:t xml:space="preserve">. See also </w:t>
      </w:r>
      <w:r w:rsidR="002A6E4C" w:rsidRPr="00030932">
        <w:rPr>
          <w:rFonts w:cstheme="minorHAnsi"/>
          <w:i/>
          <w:sz w:val="16"/>
          <w:szCs w:val="16"/>
        </w:rPr>
        <w:t xml:space="preserve">McDonald v Legal Services Commissioner (No 2) </w:t>
      </w:r>
      <w:r w:rsidR="002A6E4C" w:rsidRPr="00030932">
        <w:rPr>
          <w:rFonts w:cstheme="minorHAnsi"/>
          <w:sz w:val="16"/>
          <w:szCs w:val="16"/>
        </w:rPr>
        <w:t>[2017] VSC 89 at [22].</w:t>
      </w:r>
    </w:p>
  </w:footnote>
  <w:footnote w:id="106">
    <w:p w14:paraId="49F4D29B" w14:textId="54A0B869" w:rsidR="00BD6B2C" w:rsidRPr="00030932" w:rsidRDefault="00BD6B2C">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In </w:t>
      </w:r>
      <w:r w:rsidRPr="00030932">
        <w:rPr>
          <w:rFonts w:cstheme="minorHAnsi"/>
          <w:i/>
          <w:sz w:val="16"/>
          <w:szCs w:val="16"/>
        </w:rPr>
        <w:t xml:space="preserve">Magee v Delaney </w:t>
      </w:r>
      <w:r w:rsidRPr="00030932">
        <w:rPr>
          <w:rFonts w:cstheme="minorHAnsi"/>
          <w:sz w:val="16"/>
          <w:szCs w:val="16"/>
        </w:rPr>
        <w:t xml:space="preserve">(2012) 39 VR 50; </w:t>
      </w:r>
      <w:r w:rsidR="00105210" w:rsidRPr="00030932">
        <w:rPr>
          <w:rFonts w:cstheme="minorHAnsi"/>
          <w:sz w:val="16"/>
          <w:szCs w:val="16"/>
        </w:rPr>
        <w:t>[2012] VSC 407 at [89]</w:t>
      </w:r>
      <w:r w:rsidR="00833687" w:rsidRPr="00030932">
        <w:rPr>
          <w:rFonts w:cstheme="minorHAnsi"/>
          <w:sz w:val="16"/>
          <w:szCs w:val="16"/>
        </w:rPr>
        <w:t>–</w:t>
      </w:r>
      <w:r w:rsidR="00105210" w:rsidRPr="00030932">
        <w:rPr>
          <w:rFonts w:cstheme="minorHAnsi"/>
          <w:sz w:val="16"/>
          <w:szCs w:val="16"/>
        </w:rPr>
        <w:t>[98] the Cou</w:t>
      </w:r>
      <w:r w:rsidR="00EA4B16" w:rsidRPr="00030932">
        <w:rPr>
          <w:rFonts w:cstheme="minorHAnsi"/>
          <w:sz w:val="16"/>
          <w:szCs w:val="16"/>
        </w:rPr>
        <w:t>rt reaffirmed that the right to free expression did</w:t>
      </w:r>
      <w:r w:rsidR="00B177D2" w:rsidRPr="00030932">
        <w:rPr>
          <w:rFonts w:cstheme="minorHAnsi"/>
          <w:sz w:val="16"/>
          <w:szCs w:val="16"/>
        </w:rPr>
        <w:t xml:space="preserve"> not</w:t>
      </w:r>
      <w:r w:rsidR="00EA4B16" w:rsidRPr="00030932">
        <w:rPr>
          <w:rFonts w:cstheme="minorHAnsi"/>
          <w:sz w:val="16"/>
          <w:szCs w:val="16"/>
        </w:rPr>
        <w:t xml:space="preserve"> mean individuals could choose to express themselves in whatever form they wanted, such as </w:t>
      </w:r>
      <w:r w:rsidR="00A3577F" w:rsidRPr="00030932">
        <w:rPr>
          <w:rFonts w:cstheme="minorHAnsi"/>
          <w:sz w:val="16"/>
          <w:szCs w:val="16"/>
        </w:rPr>
        <w:t xml:space="preserve">through </w:t>
      </w:r>
      <w:r w:rsidR="00EA4B16" w:rsidRPr="00030932">
        <w:rPr>
          <w:rFonts w:cstheme="minorHAnsi"/>
          <w:sz w:val="16"/>
          <w:szCs w:val="16"/>
        </w:rPr>
        <w:t>criminal conduct.</w:t>
      </w:r>
    </w:p>
  </w:footnote>
  <w:footnote w:id="107">
    <w:p w14:paraId="05039072" w14:textId="2ABC9C2A" w:rsidR="003B40C9" w:rsidRPr="00030932" w:rsidRDefault="003B40C9">
      <w:pPr>
        <w:pStyle w:val="FootnoteText"/>
        <w:rPr>
          <w:sz w:val="16"/>
          <w:szCs w:val="16"/>
        </w:rPr>
      </w:pPr>
      <w:r w:rsidRPr="00030932">
        <w:rPr>
          <w:rStyle w:val="FootnoteReference"/>
          <w:sz w:val="16"/>
          <w:szCs w:val="16"/>
        </w:rPr>
        <w:footnoteRef/>
      </w:r>
      <w:r w:rsidRPr="00030932">
        <w:rPr>
          <w:sz w:val="16"/>
          <w:szCs w:val="16"/>
        </w:rPr>
        <w:t xml:space="preserve"> </w:t>
      </w:r>
      <w:r w:rsidRPr="00030932">
        <w:rPr>
          <w:sz w:val="16"/>
          <w:szCs w:val="16"/>
        </w:rPr>
        <w:fldChar w:fldCharType="begin"/>
      </w:r>
      <w:r w:rsidR="00E33440" w:rsidRPr="00030932">
        <w:rPr>
          <w:sz w:val="16"/>
          <w:szCs w:val="16"/>
        </w:rPr>
        <w:instrText xml:space="preserve"> ADDIN ZOTERO_ITEM CSL_CITATION {"citationID":"czUl58sU","properties":{"formattedCitation":"State of Victoria, \\uc0\\u8216{}Royal Commission into Victoria\\uc0\\u8217{}s Mental Health System, Volume 3: Promoting Inclusion and Addressing Inequities\\uc0\\u8217{} (n 32) 521\\uc0\\u8211{}544.","plainCitation":"State of Victoria, ‘Royal Commission into Victoria’s Mental Health System, Volume 3: Promoting Inclusion and Addressing Inequities’ (n 32) 521–544.","noteIndex":220},"citationItems":[{"id":545,"uris":["http://zotero.org/users/local/OLPofQUL/items/2CWX2S5X"],"itemData":{"id":545,"type":"report","number":"Parliamentary Paper no. 202, Session 2018-2021 (document 4 of 6)","publisher":"State of Victoria","title":"Royal Commission into Victoria's Mental Health System, Volume 3: Promoting inclusion and addressing inequities","URL":"https://finalreport.rcvmhs.vic.gov.au/download-report/","author":[{"family":"State of Victoria","given":""}],"issued":{"date-parts":[["2021"]]}},"locator":"521-544","label":"page"}],"schema":"https://github.com/citation-style-language/schema/raw/master/csl-citation.json"} </w:instrText>
      </w:r>
      <w:r w:rsidRPr="00030932">
        <w:rPr>
          <w:sz w:val="16"/>
          <w:szCs w:val="16"/>
        </w:rPr>
        <w:fldChar w:fldCharType="separate"/>
      </w:r>
      <w:r w:rsidR="00356F28" w:rsidRPr="00030932">
        <w:rPr>
          <w:rFonts w:ascii="Calibri" w:hAnsi="Calibri" w:cs="Calibri"/>
          <w:sz w:val="16"/>
          <w:szCs w:val="16"/>
        </w:rPr>
        <w:t>State of Victoria, ‘Royal Commission into Victoria’s Mental Health System, Volume 3: Promoting Inclusion and Addressing Inequities’ (n 32) 521–544.</w:t>
      </w:r>
      <w:r w:rsidRPr="00030932">
        <w:rPr>
          <w:sz w:val="16"/>
          <w:szCs w:val="16"/>
        </w:rPr>
        <w:fldChar w:fldCharType="end"/>
      </w:r>
    </w:p>
  </w:footnote>
  <w:footnote w:id="108">
    <w:p w14:paraId="3CBA92E1" w14:textId="739A5A1E" w:rsidR="00694C84" w:rsidRPr="00030932" w:rsidRDefault="00694C84">
      <w:pPr>
        <w:pStyle w:val="FootnoteText"/>
        <w:rPr>
          <w:sz w:val="16"/>
          <w:szCs w:val="16"/>
        </w:rPr>
      </w:pPr>
      <w:r w:rsidRPr="00030932">
        <w:rPr>
          <w:rStyle w:val="FootnoteReference"/>
          <w:sz w:val="16"/>
          <w:szCs w:val="16"/>
        </w:rPr>
        <w:footnoteRef/>
      </w:r>
      <w:r w:rsidRPr="00030932">
        <w:rPr>
          <w:sz w:val="16"/>
          <w:szCs w:val="16"/>
        </w:rPr>
        <w:t xml:space="preserve"> </w:t>
      </w:r>
      <w:r w:rsidRPr="00030932">
        <w:rPr>
          <w:sz w:val="16"/>
          <w:szCs w:val="16"/>
        </w:rPr>
        <w:fldChar w:fldCharType="begin"/>
      </w:r>
      <w:r w:rsidR="005A3579">
        <w:rPr>
          <w:sz w:val="16"/>
          <w:szCs w:val="16"/>
        </w:rPr>
        <w:instrText xml:space="preserve"> ADDIN ZOTERO_ITEM CSL_CITATION {"citationID":"P1DdWUEN","properties":{"formattedCitation":"Simon Katterl, \\uc0\\u8216{}Words That Hurt: Why Mental Health Stigma Is Often Vilification, and Requires Legal Protection\\uc0\\u8217{} (2023) 0(0) {\\i{}Alternative Law Journal} 1.","plainCitation":"Simon Katterl, ‘Words That Hurt: Why Mental Health Stigma Is Often Vilification, and Requires Legal Protection’ (2023) 0(0) Alternative Law Journal 1.","noteIndex":223},"citationItems":[{"id":1991,"uris":["http://zotero.org/users/local/OLPofQUL/items/G5UTAFN9"],"itemData":{"id":1991,"type":"article-journal","container-title":"Alternative Law Journal","issue":"0","page":"1-8","title":"Words that hurt: Why mental health stigma is often vilification, and requires legal protection","volume":"0","author":[{"family":"Katterl","given":"Simon"}],"issued":{"date-parts":[["2023"]]}}}],"schema":"https://github.com/citation-style-language/schema/raw/master/csl-citation.json"} </w:instrText>
      </w:r>
      <w:r w:rsidRPr="00030932">
        <w:rPr>
          <w:sz w:val="16"/>
          <w:szCs w:val="16"/>
        </w:rPr>
        <w:fldChar w:fldCharType="separate"/>
      </w:r>
      <w:r w:rsidRPr="00030932">
        <w:rPr>
          <w:rFonts w:ascii="Calibri" w:hAnsi="Calibri" w:cs="Calibri"/>
          <w:sz w:val="16"/>
          <w:szCs w:val="16"/>
        </w:rPr>
        <w:t xml:space="preserve">Simon Katterl, ‘Words That Hurt: Why Mental Health Stigma Is Often Vilification, and Requires Legal Protection’ (2023) 0(0) </w:t>
      </w:r>
      <w:r w:rsidRPr="00030932">
        <w:rPr>
          <w:rFonts w:ascii="Calibri" w:hAnsi="Calibri" w:cs="Calibri"/>
          <w:i/>
          <w:iCs/>
          <w:sz w:val="16"/>
          <w:szCs w:val="16"/>
        </w:rPr>
        <w:t>Alternative Law Journal</w:t>
      </w:r>
      <w:r w:rsidRPr="00030932">
        <w:rPr>
          <w:rFonts w:ascii="Calibri" w:hAnsi="Calibri" w:cs="Calibri"/>
          <w:sz w:val="16"/>
          <w:szCs w:val="16"/>
        </w:rPr>
        <w:t xml:space="preserve"> 1.</w:t>
      </w:r>
      <w:r w:rsidRPr="00030932">
        <w:rPr>
          <w:sz w:val="16"/>
          <w:szCs w:val="16"/>
        </w:rPr>
        <w:fldChar w:fldCharType="end"/>
      </w:r>
    </w:p>
  </w:footnote>
  <w:footnote w:id="109">
    <w:p w14:paraId="604E6E53" w14:textId="3B3DB032" w:rsidR="0064645D" w:rsidRPr="00030932" w:rsidRDefault="0064645D">
      <w:pPr>
        <w:pStyle w:val="FootnoteText"/>
        <w:rPr>
          <w:sz w:val="16"/>
          <w:szCs w:val="16"/>
        </w:rPr>
      </w:pPr>
      <w:r w:rsidRPr="00030932">
        <w:rPr>
          <w:rStyle w:val="FootnoteReference"/>
          <w:sz w:val="16"/>
          <w:szCs w:val="16"/>
        </w:rPr>
        <w:footnoteRef/>
      </w:r>
      <w:r w:rsidRPr="00030932">
        <w:rPr>
          <w:sz w:val="16"/>
          <w:szCs w:val="16"/>
        </w:rPr>
        <w:t xml:space="preserve"> </w:t>
      </w:r>
      <w:r w:rsidRPr="00030932">
        <w:rPr>
          <w:sz w:val="16"/>
          <w:szCs w:val="16"/>
        </w:rPr>
        <w:fldChar w:fldCharType="begin"/>
      </w:r>
      <w:r w:rsidR="005A3579">
        <w:rPr>
          <w:sz w:val="16"/>
          <w:szCs w:val="16"/>
        </w:rPr>
        <w:instrText xml:space="preserve"> ADDIN ZOTERO_ITEM CSL_CITATION {"citationID":"rJabn8ka","properties":{"formattedCitation":"Ibid.","plainCitation":"Ibid.","noteIndex":224},"citationItems":[{"id":1991,"uris":["http://zotero.org/users/local/OLPofQUL/items/G5UTAFN9"],"itemData":{"id":1991,"type":"article-journal","container-title":"Alternative Law Journal","issue":"0","page":"1-8","title":"Words that hurt: Why mental health stigma is often vilification, and requires legal protection","volume":"0","author":[{"family":"Katterl","given":"Simon"}],"issued":{"date-parts":[["2023"]]}}}],"schema":"https://github.com/citation-style-language/schema/raw/master/csl-citation.json"} </w:instrText>
      </w:r>
      <w:r w:rsidRPr="00030932">
        <w:rPr>
          <w:sz w:val="16"/>
          <w:szCs w:val="16"/>
        </w:rPr>
        <w:fldChar w:fldCharType="separate"/>
      </w:r>
      <w:r w:rsidRPr="00030932">
        <w:rPr>
          <w:rFonts w:ascii="Calibri" w:hAnsi="Calibri" w:cs="Calibri"/>
          <w:sz w:val="16"/>
          <w:szCs w:val="16"/>
        </w:rPr>
        <w:t>Ibid.</w:t>
      </w:r>
      <w:r w:rsidRPr="00030932">
        <w:rPr>
          <w:sz w:val="16"/>
          <w:szCs w:val="16"/>
        </w:rPr>
        <w:fldChar w:fldCharType="end"/>
      </w:r>
    </w:p>
  </w:footnote>
  <w:footnote w:id="110">
    <w:p w14:paraId="1221D8DE" w14:textId="65A995C0" w:rsidR="00AB4DA2" w:rsidRPr="00030932" w:rsidRDefault="00AB4DA2">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sz w:val="16"/>
          <w:szCs w:val="16"/>
        </w:rPr>
        <w:t xml:space="preserve">XYZ v Victoria Police </w:t>
      </w:r>
      <w:r w:rsidRPr="00030932">
        <w:rPr>
          <w:rFonts w:cstheme="minorHAnsi"/>
          <w:sz w:val="16"/>
          <w:szCs w:val="16"/>
        </w:rPr>
        <w:t xml:space="preserve">(2010) 33 VAR 1; [2010] VCAT 255 </w:t>
      </w:r>
      <w:r w:rsidR="00FF6773" w:rsidRPr="00030932">
        <w:rPr>
          <w:rFonts w:cstheme="minorHAnsi"/>
          <w:sz w:val="16"/>
          <w:szCs w:val="16"/>
        </w:rPr>
        <w:t>at [515]</w:t>
      </w:r>
      <w:r w:rsidR="00833687" w:rsidRPr="00030932">
        <w:rPr>
          <w:rFonts w:cstheme="minorHAnsi"/>
          <w:sz w:val="16"/>
          <w:szCs w:val="16"/>
        </w:rPr>
        <w:t>–</w:t>
      </w:r>
      <w:r w:rsidR="00FF6773" w:rsidRPr="00030932">
        <w:rPr>
          <w:rFonts w:cstheme="minorHAnsi"/>
          <w:sz w:val="16"/>
          <w:szCs w:val="16"/>
        </w:rPr>
        <w:t>[559].</w:t>
      </w:r>
    </w:p>
  </w:footnote>
  <w:footnote w:id="111">
    <w:p w14:paraId="3DA1757C" w14:textId="21F9D565" w:rsidR="003F3D75" w:rsidRPr="00030932" w:rsidRDefault="003F3D75">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sz w:val="16"/>
          <w:szCs w:val="16"/>
        </w:rPr>
        <w:t xml:space="preserve">Freedom of Information Act 1982 </w:t>
      </w:r>
      <w:r w:rsidRPr="00030932">
        <w:rPr>
          <w:rFonts w:cstheme="minorHAnsi"/>
          <w:sz w:val="16"/>
          <w:szCs w:val="16"/>
        </w:rPr>
        <w:t>(Vic).</w:t>
      </w:r>
    </w:p>
  </w:footnote>
  <w:footnote w:id="112">
    <w:p w14:paraId="2339446F" w14:textId="508845D5" w:rsidR="003A5D65" w:rsidRPr="00030932" w:rsidRDefault="003A5D65">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sz w:val="16"/>
          <w:szCs w:val="16"/>
        </w:rPr>
        <w:t>Minogue v Dougherty</w:t>
      </w:r>
      <w:r w:rsidRPr="00030932">
        <w:rPr>
          <w:rFonts w:cstheme="minorHAnsi"/>
          <w:sz w:val="16"/>
          <w:szCs w:val="16"/>
        </w:rPr>
        <w:t xml:space="preserve"> [2017] VSC 724.</w:t>
      </w:r>
    </w:p>
  </w:footnote>
  <w:footnote w:id="113">
    <w:p w14:paraId="10575BC8" w14:textId="7D0B6073" w:rsidR="00C80E79" w:rsidRPr="00030932" w:rsidRDefault="00C80E79">
      <w:pPr>
        <w:pStyle w:val="FootnoteText"/>
        <w:rPr>
          <w:sz w:val="16"/>
          <w:szCs w:val="16"/>
        </w:rPr>
      </w:pPr>
      <w:r w:rsidRPr="00030932">
        <w:rPr>
          <w:rStyle w:val="FootnoteReference"/>
          <w:sz w:val="16"/>
          <w:szCs w:val="16"/>
        </w:rPr>
        <w:footnoteRef/>
      </w:r>
      <w:r w:rsidRPr="00030932">
        <w:rPr>
          <w:sz w:val="16"/>
          <w:szCs w:val="16"/>
        </w:rPr>
        <w:t xml:space="preserve"> </w:t>
      </w:r>
      <w:r w:rsidRPr="00030932">
        <w:rPr>
          <w:i/>
          <w:iCs/>
          <w:sz w:val="16"/>
          <w:szCs w:val="16"/>
        </w:rPr>
        <w:t xml:space="preserve">Freedom of Information Act 1982 </w:t>
      </w:r>
      <w:r w:rsidRPr="00030932">
        <w:rPr>
          <w:sz w:val="16"/>
          <w:szCs w:val="16"/>
        </w:rPr>
        <w:t>(Vic) s 3.</w:t>
      </w:r>
    </w:p>
  </w:footnote>
  <w:footnote w:id="114">
    <w:p w14:paraId="2E108620" w14:textId="328192B4" w:rsidR="00AD193C" w:rsidRPr="00030932" w:rsidRDefault="00AD193C">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E33440" w:rsidRPr="00030932">
        <w:rPr>
          <w:rFonts w:cstheme="minorHAnsi"/>
          <w:sz w:val="16"/>
          <w:szCs w:val="16"/>
        </w:rPr>
        <w:instrText xml:space="preserve"> ADDIN ZOTERO_ITEM CSL_CITATION {"citationID":"UXYFCnE8","properties":{"formattedCitation":"For example, see: Stephen Faraone, \\uc0\\u8216{}Psychiatry and Political Repression in the Soviet Union.\\uc0\\u8217{} (1982) 37(10) {\\i{}American Psychologist} 1105.","plainCitation":"For example, see: Stephen Faraone, ‘Psychiatry and Political Repression in the Soviet Union.’ (1982) 37(10) American Psychologist 1105.","noteIndex":229},"citationItems":[{"id":2001,"uris":["http://zotero.org/users/local/OLPofQUL/items/L7KS3IMY"],"itemData":{"id":2001,"type":"article-journal","container-title":"American Psychologist","issue":"10","note":"ISBN: 1935-990X\npublisher: American Psychological Association","page":"1105","title":"Psychiatry and political repression in the Soviet Union.","volume":"37","author":[{"family":"Faraone","given":"Stephen"}],"issued":{"date-parts":[["1982"]]}},"label":"page","prefix":"For example, see:"}],"schema":"https://github.com/citation-style-language/schema/raw/master/csl-citation.json"} </w:instrText>
      </w:r>
      <w:r w:rsidRPr="00030932">
        <w:rPr>
          <w:rFonts w:cstheme="minorHAnsi"/>
          <w:sz w:val="16"/>
          <w:szCs w:val="16"/>
        </w:rPr>
        <w:fldChar w:fldCharType="separate"/>
      </w:r>
      <w:r w:rsidRPr="00030932">
        <w:rPr>
          <w:rFonts w:cstheme="minorHAnsi"/>
          <w:sz w:val="16"/>
          <w:szCs w:val="16"/>
        </w:rPr>
        <w:t xml:space="preserve">For example, see: Stephen Faraone, ‘Psychiatry and Political Repression in the Soviet Union.’ (1982) 37(10) </w:t>
      </w:r>
      <w:r w:rsidRPr="00030932">
        <w:rPr>
          <w:rFonts w:cstheme="minorHAnsi"/>
          <w:i/>
          <w:iCs/>
          <w:sz w:val="16"/>
          <w:szCs w:val="16"/>
        </w:rPr>
        <w:t>American Psychologist</w:t>
      </w:r>
      <w:r w:rsidRPr="00030932">
        <w:rPr>
          <w:rFonts w:cstheme="minorHAnsi"/>
          <w:sz w:val="16"/>
          <w:szCs w:val="16"/>
        </w:rPr>
        <w:t xml:space="preserve"> 1105.</w:t>
      </w:r>
      <w:r w:rsidRPr="00030932">
        <w:rPr>
          <w:rFonts w:cstheme="minorHAnsi"/>
          <w:sz w:val="16"/>
          <w:szCs w:val="16"/>
        </w:rPr>
        <w:fldChar w:fldCharType="end"/>
      </w:r>
    </w:p>
  </w:footnote>
  <w:footnote w:id="115">
    <w:p w14:paraId="05C11292" w14:textId="7863CC6A" w:rsidR="00817202" w:rsidRPr="00030932" w:rsidRDefault="00817202">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sz w:val="16"/>
          <w:szCs w:val="16"/>
        </w:rPr>
        <w:t>Carpis v Victoria Police</w:t>
      </w:r>
      <w:r w:rsidRPr="00030932">
        <w:rPr>
          <w:rFonts w:cstheme="minorHAnsi"/>
          <w:sz w:val="16"/>
          <w:szCs w:val="16"/>
        </w:rPr>
        <w:t xml:space="preserve"> </w:t>
      </w:r>
      <w:r w:rsidR="00DE1371" w:rsidRPr="00030932">
        <w:rPr>
          <w:rFonts w:cstheme="minorHAnsi"/>
          <w:sz w:val="16"/>
          <w:szCs w:val="16"/>
        </w:rPr>
        <w:t>[2012] VCAT 1472 at [69].</w:t>
      </w:r>
    </w:p>
  </w:footnote>
  <w:footnote w:id="116">
    <w:p w14:paraId="7FC5AABC" w14:textId="6B5019DE" w:rsidR="00DA67BB" w:rsidRPr="00030932" w:rsidRDefault="00DA67BB">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sz w:val="16"/>
          <w:szCs w:val="16"/>
        </w:rPr>
        <w:t xml:space="preserve">R (Laporte) v Chief Constable of Gloucestershire </w:t>
      </w:r>
      <w:r w:rsidRPr="00030932">
        <w:rPr>
          <w:rFonts w:cstheme="minorHAnsi"/>
          <w:sz w:val="16"/>
          <w:szCs w:val="16"/>
        </w:rPr>
        <w:t xml:space="preserve">[2007] 2 AC 105; </w:t>
      </w:r>
      <w:r w:rsidR="00526C13" w:rsidRPr="00030932">
        <w:rPr>
          <w:rFonts w:cstheme="minorHAnsi"/>
          <w:sz w:val="16"/>
          <w:szCs w:val="16"/>
        </w:rPr>
        <w:t>[2006] UOUP 55</w:t>
      </w:r>
      <w:r w:rsidR="004C705C" w:rsidRPr="00030932">
        <w:rPr>
          <w:rFonts w:cstheme="minorHAnsi"/>
          <w:sz w:val="16"/>
          <w:szCs w:val="16"/>
        </w:rPr>
        <w:t xml:space="preserve"> regarding Art 11 of the European Convention on Human Rights.</w:t>
      </w:r>
    </w:p>
  </w:footnote>
  <w:footnote w:id="117">
    <w:p w14:paraId="64824187" w14:textId="2D03060D" w:rsidR="000B6076" w:rsidRPr="00030932" w:rsidRDefault="000B6076">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00B54C96" w:rsidRPr="00030932">
        <w:rPr>
          <w:rFonts w:cstheme="minorHAnsi"/>
          <w:i/>
          <w:sz w:val="16"/>
          <w:szCs w:val="16"/>
        </w:rPr>
        <w:t xml:space="preserve">Plattform </w:t>
      </w:r>
      <w:r w:rsidR="00CD04C8" w:rsidRPr="00030932">
        <w:rPr>
          <w:rFonts w:cstheme="minorHAnsi"/>
          <w:i/>
          <w:sz w:val="16"/>
          <w:szCs w:val="16"/>
        </w:rPr>
        <w:t xml:space="preserve">"Ärzte für das Leben" (Doctors for the Right to Life) v Austria </w:t>
      </w:r>
      <w:r w:rsidR="00CD04C8" w:rsidRPr="00030932">
        <w:rPr>
          <w:rFonts w:cstheme="minorHAnsi"/>
          <w:sz w:val="16"/>
          <w:szCs w:val="16"/>
        </w:rPr>
        <w:t>(1988 13 EHRR 204; [1988] ECHR 15</w:t>
      </w:r>
      <w:r w:rsidR="00074455" w:rsidRPr="00030932">
        <w:rPr>
          <w:rFonts w:cstheme="minorHAnsi"/>
          <w:sz w:val="16"/>
          <w:szCs w:val="16"/>
        </w:rPr>
        <w:t xml:space="preserve">, regarding Art 13 of </w:t>
      </w:r>
      <w:r w:rsidRPr="00030932">
        <w:rPr>
          <w:rFonts w:cstheme="minorHAnsi"/>
          <w:sz w:val="16"/>
          <w:szCs w:val="16"/>
        </w:rPr>
        <w:t>the</w:t>
      </w:r>
      <w:r w:rsidR="00074455" w:rsidRPr="00030932">
        <w:rPr>
          <w:rFonts w:cstheme="minorHAnsi"/>
          <w:sz w:val="16"/>
          <w:szCs w:val="16"/>
        </w:rPr>
        <w:t xml:space="preserve"> European Convention on Human Rights.</w:t>
      </w:r>
    </w:p>
  </w:footnote>
  <w:footnote w:id="118">
    <w:p w14:paraId="3B886E7D" w14:textId="1E024C46" w:rsidR="00F041B1" w:rsidRPr="00030932" w:rsidRDefault="00F041B1">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005B7838" w:rsidRPr="00030932">
        <w:rPr>
          <w:rFonts w:cstheme="minorHAnsi"/>
          <w:i/>
          <w:sz w:val="16"/>
          <w:szCs w:val="16"/>
        </w:rPr>
        <w:t>Ser</w:t>
      </w:r>
      <w:r w:rsidR="00FC221A" w:rsidRPr="00030932">
        <w:rPr>
          <w:rFonts w:cstheme="minorHAnsi"/>
          <w:i/>
          <w:sz w:val="16"/>
          <w:szCs w:val="16"/>
        </w:rPr>
        <w:t xml:space="preserve">gerstedt-Wiberg v Sweden </w:t>
      </w:r>
      <w:r w:rsidR="00FC221A" w:rsidRPr="00030932">
        <w:rPr>
          <w:rFonts w:cstheme="minorHAnsi"/>
          <w:sz w:val="16"/>
          <w:szCs w:val="16"/>
        </w:rPr>
        <w:t>(2007) 44 EHRR 2; [2006</w:t>
      </w:r>
      <w:r w:rsidR="002D23FC" w:rsidRPr="00030932">
        <w:rPr>
          <w:rFonts w:cstheme="minorHAnsi"/>
          <w:sz w:val="16"/>
          <w:szCs w:val="16"/>
        </w:rPr>
        <w:t xml:space="preserve">] </w:t>
      </w:r>
      <w:r w:rsidR="009E1DEB" w:rsidRPr="00030932">
        <w:rPr>
          <w:rFonts w:cstheme="minorHAnsi"/>
          <w:sz w:val="16"/>
          <w:szCs w:val="16"/>
        </w:rPr>
        <w:t>ECHR 597 found that the storage of personal information on a police register would be an unjustified limitation on this</w:t>
      </w:r>
      <w:r w:rsidR="00AA49B4" w:rsidRPr="00030932">
        <w:rPr>
          <w:rFonts w:cstheme="minorHAnsi"/>
          <w:sz w:val="16"/>
          <w:szCs w:val="16"/>
        </w:rPr>
        <w:t xml:space="preserve"> right, while </w:t>
      </w:r>
      <w:r w:rsidR="00AA49B4" w:rsidRPr="00030932">
        <w:rPr>
          <w:rFonts w:cstheme="minorHAnsi"/>
          <w:i/>
          <w:sz w:val="16"/>
          <w:szCs w:val="16"/>
        </w:rPr>
        <w:t>Caripis v Victoria Police</w:t>
      </w:r>
      <w:r w:rsidR="00AA49B4" w:rsidRPr="00030932">
        <w:rPr>
          <w:rFonts w:cstheme="minorHAnsi"/>
          <w:sz w:val="16"/>
          <w:szCs w:val="16"/>
        </w:rPr>
        <w:t xml:space="preserve"> [2012] VCAT 1472 </w:t>
      </w:r>
      <w:r w:rsidR="003F295C" w:rsidRPr="00030932">
        <w:rPr>
          <w:rFonts w:cstheme="minorHAnsi"/>
          <w:sz w:val="16"/>
          <w:szCs w:val="16"/>
        </w:rPr>
        <w:t xml:space="preserve">at [76] </w:t>
      </w:r>
      <w:r w:rsidR="00AA49B4" w:rsidRPr="00030932">
        <w:rPr>
          <w:rFonts w:cstheme="minorHAnsi"/>
          <w:sz w:val="16"/>
          <w:szCs w:val="16"/>
        </w:rPr>
        <w:t>stated that the equivalent right in the Charter would not be unjustifiably limited by photos being taken by police, because other photos were being published by other members of the community online.</w:t>
      </w:r>
    </w:p>
  </w:footnote>
  <w:footnote w:id="119">
    <w:p w14:paraId="1508594B" w14:textId="6187FE9B" w:rsidR="004D5000" w:rsidRPr="00030932" w:rsidRDefault="004D5000">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00E674AA" w:rsidRPr="00030932">
        <w:rPr>
          <w:rFonts w:cstheme="minorHAnsi"/>
          <w:i/>
          <w:sz w:val="16"/>
          <w:szCs w:val="16"/>
        </w:rPr>
        <w:t xml:space="preserve">Young, James and Webster v United Kingdom </w:t>
      </w:r>
      <w:r w:rsidR="00E674AA" w:rsidRPr="00030932">
        <w:rPr>
          <w:rFonts w:cstheme="minorHAnsi"/>
          <w:sz w:val="16"/>
          <w:szCs w:val="16"/>
        </w:rPr>
        <w:t>(1982) 4 EHRR 38; [1981] ECHR 4 at [32]</w:t>
      </w:r>
      <w:r w:rsidR="00E674AA" w:rsidRPr="00030932">
        <w:rPr>
          <w:rFonts w:cstheme="minorHAnsi"/>
          <w:i/>
          <w:sz w:val="16"/>
          <w:szCs w:val="16"/>
        </w:rPr>
        <w:t>.</w:t>
      </w:r>
      <w:r w:rsidR="00854A0B" w:rsidRPr="00030932">
        <w:rPr>
          <w:rFonts w:cstheme="minorHAnsi"/>
          <w:sz w:val="16"/>
          <w:szCs w:val="16"/>
        </w:rPr>
        <w:t xml:space="preserve"> Note, the </w:t>
      </w:r>
      <w:r w:rsidR="00854A0B" w:rsidRPr="00030932">
        <w:rPr>
          <w:rFonts w:cstheme="minorHAnsi"/>
          <w:i/>
          <w:sz w:val="16"/>
          <w:szCs w:val="16"/>
        </w:rPr>
        <w:t xml:space="preserve">Equal Opportunity Act 2010 </w:t>
      </w:r>
      <w:r w:rsidR="00854A0B" w:rsidRPr="00030932">
        <w:rPr>
          <w:rFonts w:cstheme="minorHAnsi"/>
          <w:sz w:val="16"/>
          <w:szCs w:val="16"/>
        </w:rPr>
        <w:t>(Vic) protects against discrimination on the basis of industrial activity, which under section 4(1), includes both joining and not joining unions.</w:t>
      </w:r>
    </w:p>
  </w:footnote>
  <w:footnote w:id="120">
    <w:p w14:paraId="39C1B3B9" w14:textId="35E2C815" w:rsidR="000A2499" w:rsidRPr="00030932" w:rsidRDefault="000A2499">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sz w:val="16"/>
          <w:szCs w:val="16"/>
        </w:rPr>
        <w:t xml:space="preserve">Dunmore v Ontario (Attorney General) </w:t>
      </w:r>
      <w:r w:rsidRPr="00030932">
        <w:rPr>
          <w:rFonts w:cstheme="minorHAnsi"/>
          <w:sz w:val="16"/>
          <w:szCs w:val="16"/>
        </w:rPr>
        <w:t>[2001] 3 SCR 1016</w:t>
      </w:r>
      <w:r w:rsidR="009D272E" w:rsidRPr="00030932">
        <w:rPr>
          <w:rFonts w:cstheme="minorHAnsi"/>
          <w:sz w:val="16"/>
          <w:szCs w:val="16"/>
        </w:rPr>
        <w:t>; [2001] SCC 94</w:t>
      </w:r>
      <w:r w:rsidR="00DE50DA" w:rsidRPr="00030932">
        <w:rPr>
          <w:rFonts w:cstheme="minorHAnsi"/>
          <w:sz w:val="16"/>
          <w:szCs w:val="16"/>
        </w:rPr>
        <w:t xml:space="preserve">, where the Court found that the laws that restricted agricultural workers from joining a statutory </w:t>
      </w:r>
      <w:r w:rsidR="00112DFE" w:rsidRPr="00030932">
        <w:rPr>
          <w:rFonts w:cstheme="minorHAnsi"/>
          <w:sz w:val="16"/>
          <w:szCs w:val="16"/>
        </w:rPr>
        <w:t xml:space="preserve">labour relations scheme were a substantial interference with the right to freedom of association and rendered the laws </w:t>
      </w:r>
      <w:r w:rsidR="008F230A" w:rsidRPr="00030932">
        <w:rPr>
          <w:rFonts w:cstheme="minorHAnsi"/>
          <w:sz w:val="16"/>
          <w:szCs w:val="16"/>
        </w:rPr>
        <w:t>unconstitutional</w:t>
      </w:r>
      <w:r w:rsidR="00112DFE" w:rsidRPr="00030932">
        <w:rPr>
          <w:rFonts w:cstheme="minorHAnsi"/>
          <w:sz w:val="16"/>
          <w:szCs w:val="16"/>
        </w:rPr>
        <w:t xml:space="preserve">. </w:t>
      </w:r>
    </w:p>
  </w:footnote>
  <w:footnote w:id="121">
    <w:p w14:paraId="0D87680C" w14:textId="1AB14494" w:rsidR="00627AC7" w:rsidRPr="00030932" w:rsidRDefault="00627AC7">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E33440" w:rsidRPr="00030932">
        <w:rPr>
          <w:rFonts w:cstheme="minorHAnsi"/>
          <w:sz w:val="16"/>
          <w:szCs w:val="16"/>
        </w:rPr>
        <w:instrText xml:space="preserve"> ADDIN ZOTERO_ITEM CSL_CITATION {"citationID":"Yl36Ztgk","properties":{"formattedCitation":"Caroline Lambert, \\uc0\\u8216{}From Time Slips to Visceral Disquiet: The Experience of Mental Health Caring \\uc0\\u8211{} Croakey Health Media\\uc0\\u8217{}, {\\i{}Croakey Health Media} (online, 12 October 2022) &lt;https://www.croakey.org/from-time-slips-to-visceral-disquiet-the-experience-of-mental-health-caring/&gt;; Kerry Hawkins, \\uc0\\u8216{}Let\\uc0\\u8217{}s Talk about Psychosis, and the Families Mental Health Reform Forgot \\uc0\\u8211{} Croakey Health Media\\uc0\\u8217{}, {\\i{}Croakey Health Media} (online, 10 November 2022) &lt;https://www.croakey.org/lets-talk-about-psychosis-and-the-families-mental-health-reform-forgot/&gt;.","plainCitation":"Caroline Lambert, ‘From Time Slips to Visceral Disquiet: The Experience of Mental Health Caring – Croakey Health Media’, Croakey Health Media (online, 12 October 2022) &lt;https://www.croakey.org/from-time-slips-to-visceral-disquiet-the-experience-of-mental-health-caring/&gt;; Kerry Hawkins, ‘Let’s Talk about Psychosis, and the Families Mental Health Reform Forgot – Croakey Health Media’, Croakey Health Media (online, 10 November 2022) &lt;https://www.croakey.org/lets-talk-about-psychosis-and-the-families-mental-health-reform-forgot/&gt;.","noteIndex":236},"citationItems":[{"id":1750,"uris":["http://zotero.org/users/local/OLPofQUL/items/H3ZI496X"],"itemData":{"id":1750,"type":"article-newspaper","container-title":"Croakey Health Media","title":"From time slips to visceral disquiet: the experience of mental health caring – Croakey Health Media","URL":"https://www.croakey.org/from-time-slips-to-visceral-disquiet-the-experience-of-mental-health-caring/","author":[{"family":"Lambert","given":"Caroline"}],"accessed":{"date-parts":[["2022",10,26]]},"issued":{"date-parts":[["2022",10,12]]}}},{"id":1748,"uris":["http://zotero.org/users/local/OLPofQUL/items/5BXYDRS8"],"itemData":{"id":1748,"type":"article-newspaper","container-title":"Croakey Health Media","title":"Let’s talk about psychosis, and the families mental health reform forgot – Croakey Health Media","URL":"https://www.croakey.org/lets-talk-about-psychosis-and-the-families-mental-health-reform-forgot/","author":[{"family":"Hawkins","given":"Kerry"}],"accessed":{"date-parts":[["2022",10,26]]},"issued":{"date-parts":[["2022",11,10]]}}}],"schema":"https://github.com/citation-style-language/schema/raw/master/csl-citation.json"} </w:instrText>
      </w:r>
      <w:r w:rsidRPr="00030932">
        <w:rPr>
          <w:rFonts w:cstheme="minorHAnsi"/>
          <w:sz w:val="16"/>
          <w:szCs w:val="16"/>
        </w:rPr>
        <w:fldChar w:fldCharType="separate"/>
      </w:r>
      <w:r w:rsidRPr="00030932">
        <w:rPr>
          <w:rFonts w:cstheme="minorHAnsi"/>
          <w:sz w:val="16"/>
          <w:szCs w:val="16"/>
        </w:rPr>
        <w:t xml:space="preserve">Caroline Lambert, ‘From Time Slips to Visceral Disquiet: The Experience of Mental Health Caring – Croakey Health Media’, </w:t>
      </w:r>
      <w:r w:rsidRPr="00030932">
        <w:rPr>
          <w:rFonts w:cstheme="minorHAnsi"/>
          <w:i/>
          <w:iCs/>
          <w:sz w:val="16"/>
          <w:szCs w:val="16"/>
        </w:rPr>
        <w:t>Croakey Health Media</w:t>
      </w:r>
      <w:r w:rsidRPr="00030932">
        <w:rPr>
          <w:rFonts w:cstheme="minorHAnsi"/>
          <w:sz w:val="16"/>
          <w:szCs w:val="16"/>
        </w:rPr>
        <w:t xml:space="preserve"> (online, 12 October 2022) &lt;https://www.croakey.org/from-time-slips-to-visceral-disquiet-the-experience-of-mental-health-caring/&gt;; Kerry Hawkins, ‘Let’s Talk about Psychosis, and the Families Mental Health Reform Forgot – Croakey Health Media’, </w:t>
      </w:r>
      <w:r w:rsidRPr="00030932">
        <w:rPr>
          <w:rFonts w:cstheme="minorHAnsi"/>
          <w:i/>
          <w:iCs/>
          <w:sz w:val="16"/>
          <w:szCs w:val="16"/>
        </w:rPr>
        <w:t>Croakey Health Media</w:t>
      </w:r>
      <w:r w:rsidRPr="00030932">
        <w:rPr>
          <w:rFonts w:cstheme="minorHAnsi"/>
          <w:sz w:val="16"/>
          <w:szCs w:val="16"/>
        </w:rPr>
        <w:t xml:space="preserve"> (online, 10 November 2022) &lt;https://www.croakey.org/lets-talk-about-psychosis-and-the-families-mental-health-reform-forgot/&gt;.</w:t>
      </w:r>
      <w:r w:rsidRPr="00030932">
        <w:rPr>
          <w:rFonts w:cstheme="minorHAnsi"/>
          <w:sz w:val="16"/>
          <w:szCs w:val="16"/>
        </w:rPr>
        <w:fldChar w:fldCharType="end"/>
      </w:r>
    </w:p>
  </w:footnote>
  <w:footnote w:id="122">
    <w:p w14:paraId="00832454" w14:textId="3815E6A0" w:rsidR="00F25E12" w:rsidRPr="00030932" w:rsidRDefault="00F25E12" w:rsidP="00F25E12">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E33440" w:rsidRPr="00030932">
        <w:rPr>
          <w:rFonts w:cstheme="minorHAnsi"/>
          <w:sz w:val="16"/>
          <w:szCs w:val="16"/>
        </w:rPr>
        <w:instrText xml:space="preserve"> ADDIN ZOTERO_ITEM CSL_CITATION {"citationID":"SH9ovyEI","properties":{"formattedCitation":"Indigo Daya, {\\i{}Witness Statement 12 May 2020 to the Royal Commission into Victoria\\uc0\\u8217{}s Mental Health System} (2020) 24\\uc0\\u8211{}25 &lt;http://rcvmhs.archive.royalcommission.vic.gov.au/Daya_Indigo.pdf&gt;.","plainCitation":"Indigo Daya, Witness Statement 12 May 2020 to the Royal Commission into Victoria’s Mental Health System (2020) 24–25 &lt;http://rcvmhs.archive.royalcommission.vic.gov.au/Daya_Indigo.pdf&gt;.","noteIndex":237},"citationItems":[{"id":821,"uris":["http://zotero.org/users/local/OLPofQUL/items/C2UFDE4G"],"itemData":{"id":821,"type":"report","title":"Witness Statement 12 May 2020 to the Royal Commission into Victoria’s Mental Health System","URL":"http://rcvmhs.archive.royalcommission.vic.gov.au/Daya_Indigo.pdf","author":[{"family":"Daya","given":"Indigo"}],"issued":{"date-parts":[["2020"]]}},"locator":"24-25","label":"page"}],"schema":"https://github.com/citation-style-language/schema/raw/master/csl-citation.json"} </w:instrText>
      </w:r>
      <w:r w:rsidRPr="00030932">
        <w:rPr>
          <w:rFonts w:cstheme="minorHAnsi"/>
          <w:sz w:val="16"/>
          <w:szCs w:val="16"/>
        </w:rPr>
        <w:fldChar w:fldCharType="separate"/>
      </w:r>
      <w:r w:rsidRPr="00030932">
        <w:rPr>
          <w:rFonts w:cstheme="minorHAnsi"/>
          <w:sz w:val="16"/>
          <w:szCs w:val="16"/>
        </w:rPr>
        <w:t xml:space="preserve">Indigo Daya, </w:t>
      </w:r>
      <w:r w:rsidRPr="00030932">
        <w:rPr>
          <w:rFonts w:cstheme="minorHAnsi"/>
          <w:i/>
          <w:iCs/>
          <w:sz w:val="16"/>
          <w:szCs w:val="16"/>
        </w:rPr>
        <w:t>Witness Statement 12 May 2020 to the Royal Commission into Victoria’s Mental Health System</w:t>
      </w:r>
      <w:r w:rsidRPr="00030932">
        <w:rPr>
          <w:rFonts w:cstheme="minorHAnsi"/>
          <w:sz w:val="16"/>
          <w:szCs w:val="16"/>
        </w:rPr>
        <w:t xml:space="preserve"> (2020) 24–25 &lt;http://rcvmhs.archive.royalcommission.vic.gov.au/Daya_Indigo.pdf&gt;.</w:t>
      </w:r>
      <w:r w:rsidRPr="00030932">
        <w:rPr>
          <w:rFonts w:cstheme="minorHAnsi"/>
          <w:sz w:val="16"/>
          <w:szCs w:val="16"/>
        </w:rPr>
        <w:fldChar w:fldCharType="end"/>
      </w:r>
    </w:p>
  </w:footnote>
  <w:footnote w:id="123">
    <w:p w14:paraId="31ED652C" w14:textId="1D77E071" w:rsidR="0035407F" w:rsidRPr="00030932" w:rsidRDefault="0035407F">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E33440" w:rsidRPr="00030932">
        <w:rPr>
          <w:rFonts w:cstheme="minorHAnsi"/>
          <w:sz w:val="16"/>
          <w:szCs w:val="16"/>
        </w:rPr>
        <w:instrText xml:space="preserve"> ADDIN ZOTERO_ITEM CSL_CITATION {"citationID":"Cyt50z9b","properties":{"formattedCitation":"Tandem (n 36).","plainCitation":"Tandem (n 36).","noteIndex":238},"citationItems":[{"id":1587,"uris":["http://zotero.org/users/local/OLPofQUL/items/4WFXWU2H"],"itemData":{"id":1587,"type":"report","event-place":"Melbourne, VIC, Australia","publisher":"Tandem","publisher-place":"Melbourne, VIC, Australia","title":"Submission to the Royal Commission into Victoria's Mental Health System","URL":"http://rcvmhs.archive.royalcommission.vic.gov.au/Tandem.pdf","author":[{"family":"Tandem","given":""}],"issued":{"date-parts":[["2019"]]}}}],"schema":"https://github.com/citation-style-language/schema/raw/master/csl-citation.json"} </w:instrText>
      </w:r>
      <w:r w:rsidRPr="00030932">
        <w:rPr>
          <w:rFonts w:cstheme="minorHAnsi"/>
          <w:sz w:val="16"/>
          <w:szCs w:val="16"/>
        </w:rPr>
        <w:fldChar w:fldCharType="separate"/>
      </w:r>
      <w:r w:rsidR="00356F28" w:rsidRPr="00030932">
        <w:rPr>
          <w:rFonts w:ascii="Calibri" w:hAnsi="Calibri" w:cs="Calibri"/>
          <w:sz w:val="16"/>
          <w:szCs w:val="16"/>
        </w:rPr>
        <w:t>Tandem (n 36).</w:t>
      </w:r>
      <w:r w:rsidRPr="00030932">
        <w:rPr>
          <w:rFonts w:cstheme="minorHAnsi"/>
          <w:sz w:val="16"/>
          <w:szCs w:val="16"/>
        </w:rPr>
        <w:fldChar w:fldCharType="end"/>
      </w:r>
    </w:p>
  </w:footnote>
  <w:footnote w:id="124">
    <w:p w14:paraId="7B2D046C" w14:textId="5BF97169" w:rsidR="00F25E12" w:rsidRPr="00030932" w:rsidRDefault="00F25E12">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E33440" w:rsidRPr="00030932">
        <w:rPr>
          <w:rFonts w:cstheme="minorHAnsi"/>
          <w:sz w:val="16"/>
          <w:szCs w:val="16"/>
        </w:rPr>
        <w:instrText xml:space="preserve"> ADDIN ZOTERO_ITEM CSL_CITATION {"citationID":"OyiVsGvE","properties":{"formattedCitation":"For a systematic review of the positive and negative experiences of family involvement from service user (consumer) perspectives, see: Sarah LA Cameron, Phillip Tchernegovski and Darryl Maybery, \\uc0\\u8216{}Mental Health Service Users\\uc0\\u8217{} Experiences and Perspectives of Family Involvement in Their Care: A Systematic Literature Review\\uc0\\u8217{} [2022] {\\i{}Journal of Mental Health} 1.","plainCitation":"For a systematic review of the positive and negative experiences of family involvement from service user (consumer) perspectives, see: Sarah LA Cameron, Phillip Tchernegovski and Darryl Maybery, ‘Mental Health Service Users’ Experiences and Perspectives of Family Involvement in Their Care: A Systematic Literature Review’ [2022] Journal of Mental Health 1.","noteIndex":239},"citationItems":[{"id":2002,"uris":["http://zotero.org/users/local/OLPofQUL/items/CX9E7YTD"],"itemData":{"id":2002,"type":"article-journal","container-title":"Journal of Mental Health","note":"ISBN: 0963-8237\npublisher: Taylor &amp; Francis","page":"1-17","title":"Mental health service users’ experiences and perspectives of family involvement in their care: a systematic literature review","author":[{"family":"Cameron","given":"Sarah LA"},{"family":"Tchernegovski","given":"Phillip"},{"family":"Maybery","given":"Darryl"}],"issued":{"date-parts":[["2022"]]}},"label":"page","prefix":"For a systematic review of the positive and negative experiences of family involvement from service user (consumer) perspectives, see:"}],"schema":"https://github.com/citation-style-language/schema/raw/master/csl-citation.json"} </w:instrText>
      </w:r>
      <w:r w:rsidRPr="00030932">
        <w:rPr>
          <w:rFonts w:cstheme="minorHAnsi"/>
          <w:sz w:val="16"/>
          <w:szCs w:val="16"/>
        </w:rPr>
        <w:fldChar w:fldCharType="separate"/>
      </w:r>
      <w:r w:rsidRPr="00030932">
        <w:rPr>
          <w:rFonts w:cstheme="minorHAnsi"/>
          <w:sz w:val="16"/>
          <w:szCs w:val="16"/>
        </w:rPr>
        <w:t xml:space="preserve">For a systematic review of the positive and negative experiences of family involvement from service user (consumer) perspectives, see: Sarah LA Cameron, Phillip Tchernegovski and Darryl Maybery, ‘Mental Health Service Users’ Experiences and Perspectives of Family Involvement in Their Care: A Systematic Literature Review’ [2022] </w:t>
      </w:r>
      <w:r w:rsidRPr="00030932">
        <w:rPr>
          <w:rFonts w:cstheme="minorHAnsi"/>
          <w:i/>
          <w:iCs/>
          <w:sz w:val="16"/>
          <w:szCs w:val="16"/>
        </w:rPr>
        <w:t>Journal of Mental Health</w:t>
      </w:r>
      <w:r w:rsidRPr="00030932">
        <w:rPr>
          <w:rFonts w:cstheme="minorHAnsi"/>
          <w:sz w:val="16"/>
          <w:szCs w:val="16"/>
        </w:rPr>
        <w:t xml:space="preserve"> 1.</w:t>
      </w:r>
      <w:r w:rsidRPr="00030932">
        <w:rPr>
          <w:rFonts w:cstheme="minorHAnsi"/>
          <w:sz w:val="16"/>
          <w:szCs w:val="16"/>
        </w:rPr>
        <w:fldChar w:fldCharType="end"/>
      </w:r>
    </w:p>
  </w:footnote>
  <w:footnote w:id="125">
    <w:p w14:paraId="2DA2023E" w14:textId="205FA57D" w:rsidR="0066343E" w:rsidRPr="00030932" w:rsidRDefault="0066343E">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E33440" w:rsidRPr="00030932">
        <w:rPr>
          <w:rFonts w:cstheme="minorHAnsi"/>
          <w:sz w:val="16"/>
          <w:szCs w:val="16"/>
        </w:rPr>
        <w:instrText xml:space="preserve"> ADDIN ZOTERO_ITEM CSL_CITATION {"citationID":"lYqhQWZ8","properties":{"formattedCitation":"To hear directly from children and young people, read and follow work from Y-Change: Y-Change, {\\i{}Curing the Sickness of the System: Y-Change\\uc0\\u8217{}s Submission to the Royal Commission into Victoria\\uc0\\u8217{}s Mental Health System} (Berry Street, 2019) &lt;http://rcvmhs.archive.royalcommission.vic.gov.au/Organisational_-updated_version_Y-Change.pdf&gt;.","plainCitation":"To hear directly from children and young people, read and follow work from Y-Change: Y-Change, Curing the Sickness of the System: Y-Change’s Submission to the Royal Commission into Victoria’s Mental Health System (Berry Street, 2019) &lt;http://rcvmhs.archive.royalcommission.vic.gov.au/Organisational_-updated_version_Y-Change.pdf&gt;.","noteIndex":240},"citationItems":[{"id":1897,"uris":["http://zotero.org/users/local/OLPofQUL/items/I9HH6W8C"],"itemData":{"id":1897,"type":"report","event-place":"Melbourne, VIC, Australia","publisher":"Berry Street","publisher-place":"Melbourne, VIC, Australia","title":"Curing the sickness of the system: Y-Change's submission to the Royal Commission into Victoria's Mental Health System","URL":"http://rcvmhs.archive.royalcommission.vic.gov.au/Organisational_-updated_version_Y-Change.pdf","author":[{"family":"Y-Change","given":""}],"issued":{"date-parts":[["2019"]]}},"label":"page","prefix":"To hear directly from children and young people, read and follow work from Y-Change:"}],"schema":"https://github.com/citation-style-language/schema/raw/master/csl-citation.json"} </w:instrText>
      </w:r>
      <w:r w:rsidRPr="00030932">
        <w:rPr>
          <w:rFonts w:cstheme="minorHAnsi"/>
          <w:sz w:val="16"/>
          <w:szCs w:val="16"/>
        </w:rPr>
        <w:fldChar w:fldCharType="separate"/>
      </w:r>
      <w:r w:rsidRPr="00030932">
        <w:rPr>
          <w:rFonts w:cstheme="minorHAnsi"/>
          <w:sz w:val="16"/>
          <w:szCs w:val="16"/>
        </w:rPr>
        <w:t xml:space="preserve">To hear directly from children and young people, read and follow work from Y-Change: Y-Change, </w:t>
      </w:r>
      <w:r w:rsidRPr="00030932">
        <w:rPr>
          <w:rFonts w:cstheme="minorHAnsi"/>
          <w:i/>
          <w:iCs/>
          <w:sz w:val="16"/>
          <w:szCs w:val="16"/>
        </w:rPr>
        <w:t>Curing the Sickness of the System: Y-Change’s Submission to the Royal Commission into Victoria’s Mental Health System</w:t>
      </w:r>
      <w:r w:rsidRPr="00030932">
        <w:rPr>
          <w:rFonts w:cstheme="minorHAnsi"/>
          <w:sz w:val="16"/>
          <w:szCs w:val="16"/>
        </w:rPr>
        <w:t xml:space="preserve"> (Berry Street, 2019) &lt;http://rcvmhs.archive.royalcommission.vic.gov.au/Organisational_-updated_version_Y-Change.pdf&gt;.</w:t>
      </w:r>
      <w:r w:rsidRPr="00030932">
        <w:rPr>
          <w:rFonts w:cstheme="minorHAnsi"/>
          <w:sz w:val="16"/>
          <w:szCs w:val="16"/>
        </w:rPr>
        <w:fldChar w:fldCharType="end"/>
      </w:r>
    </w:p>
  </w:footnote>
  <w:footnote w:id="126">
    <w:p w14:paraId="3D681AE2" w14:textId="63608C32" w:rsidR="00BC0F69" w:rsidRPr="00030932" w:rsidRDefault="00BC0F69">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E33440" w:rsidRPr="00030932">
        <w:rPr>
          <w:rFonts w:cstheme="minorHAnsi"/>
          <w:sz w:val="16"/>
          <w:szCs w:val="16"/>
        </w:rPr>
        <w:instrText xml:space="preserve"> ADDIN ZOTERO_ITEM CSL_CITATION {"citationID":"NgbX9dFD","properties":{"formattedCitation":"State of Victoria, \\uc0\\u8216{}Royal Commission into Victoria\\uc0\\u8217{}s Mental Health System, Volume 3: Promoting Inclusion and Addressing Inequities\\uc0\\u8217{} (n 32) 74\\uc0\\u8211{}75.","plainCitation":"State of Victoria, ‘Royal Commission into Victoria’s Mental Health System, Volume 3: Promoting Inclusion and Addressing Inequities’ (n 32) 74–75.","noteIndex":241},"citationItems":[{"id":545,"uris":["http://zotero.org/users/local/OLPofQUL/items/2CWX2S5X"],"itemData":{"id":545,"type":"report","number":"Parliamentary Paper no. 202, Session 2018-2021 (document 4 of 6)","publisher":"State of Victoria","title":"Royal Commission into Victoria's Mental Health System, Volume 3: Promoting inclusion and addressing inequities","URL":"https://finalreport.rcvmhs.vic.gov.au/download-report/","author":[{"family":"State of Victoria","given":""}],"issued":{"date-parts":[["2021"]]}},"locator":"74-75","label":"page"}],"schema":"https://github.com/citation-style-language/schema/raw/master/csl-citation.json"} </w:instrText>
      </w:r>
      <w:r w:rsidRPr="00030932">
        <w:rPr>
          <w:rFonts w:cstheme="minorHAnsi"/>
          <w:sz w:val="16"/>
          <w:szCs w:val="16"/>
        </w:rPr>
        <w:fldChar w:fldCharType="separate"/>
      </w:r>
      <w:r w:rsidR="00356F28" w:rsidRPr="00030932">
        <w:rPr>
          <w:rFonts w:ascii="Calibri" w:hAnsi="Calibri" w:cs="Calibri"/>
          <w:sz w:val="16"/>
          <w:szCs w:val="16"/>
        </w:rPr>
        <w:t>State of Victoria, ‘Royal Commission into Victoria’s Mental Health System, Volume 3: Promoting Inclusion and Addressing Inequities’ (n 32) 74–75.</w:t>
      </w:r>
      <w:r w:rsidRPr="00030932">
        <w:rPr>
          <w:rFonts w:cstheme="minorHAnsi"/>
          <w:sz w:val="16"/>
          <w:szCs w:val="16"/>
        </w:rPr>
        <w:fldChar w:fldCharType="end"/>
      </w:r>
    </w:p>
  </w:footnote>
  <w:footnote w:id="127">
    <w:p w14:paraId="41BD0E33" w14:textId="6F2951FB" w:rsidR="00B21DD2" w:rsidRPr="00030932" w:rsidRDefault="00B21DD2">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00C72752" w:rsidRPr="00030932">
        <w:rPr>
          <w:rFonts w:cstheme="minorHAnsi"/>
          <w:sz w:val="16"/>
          <w:szCs w:val="16"/>
        </w:rPr>
        <w:t xml:space="preserve">See </w:t>
      </w:r>
      <w:r w:rsidR="00C72752" w:rsidRPr="00030932">
        <w:rPr>
          <w:rFonts w:cstheme="minorHAnsi"/>
          <w:i/>
          <w:sz w:val="16"/>
          <w:szCs w:val="16"/>
        </w:rPr>
        <w:t xml:space="preserve">Secretary to the Department of Human Services v Sanding </w:t>
      </w:r>
      <w:r w:rsidR="00C72752" w:rsidRPr="00030932">
        <w:rPr>
          <w:rFonts w:cstheme="minorHAnsi"/>
          <w:sz w:val="16"/>
          <w:szCs w:val="16"/>
        </w:rPr>
        <w:t>(2011) 36 VR 221; [2011] VSC 42.</w:t>
      </w:r>
    </w:p>
  </w:footnote>
  <w:footnote w:id="128">
    <w:p w14:paraId="7D0D01DD" w14:textId="6EE378DC" w:rsidR="00D85953" w:rsidRPr="00030932" w:rsidRDefault="00D85953">
      <w:pPr>
        <w:pStyle w:val="FootnoteText"/>
        <w:rPr>
          <w:sz w:val="16"/>
          <w:szCs w:val="16"/>
        </w:rPr>
      </w:pPr>
      <w:r w:rsidRPr="00030932">
        <w:rPr>
          <w:rStyle w:val="FootnoteReference"/>
          <w:sz w:val="16"/>
          <w:szCs w:val="16"/>
        </w:rPr>
        <w:footnoteRef/>
      </w:r>
      <w:r w:rsidRPr="00030932">
        <w:rPr>
          <w:sz w:val="16"/>
          <w:szCs w:val="16"/>
        </w:rPr>
        <w:t xml:space="preserve"> </w:t>
      </w:r>
      <w:r w:rsidRPr="00030932">
        <w:rPr>
          <w:sz w:val="16"/>
          <w:szCs w:val="16"/>
        </w:rPr>
        <w:fldChar w:fldCharType="begin"/>
      </w:r>
      <w:r w:rsidR="00E33440" w:rsidRPr="00030932">
        <w:rPr>
          <w:sz w:val="16"/>
          <w:szCs w:val="16"/>
        </w:rPr>
        <w:instrText xml:space="preserve"> ADDIN ZOTERO_ITEM CSL_CITATION {"citationID":"INwD6sjE","properties":{"formattedCitation":"A recent study found that 62.2% of surveyed participants had experienced some form of maltreatment during their childhood: Daryl J Higgins et al, \\uc0\\u8216{}The Prevalence and Nature of Multi\\uc0\\u8208{}type Child Maltreatment in Australia\\uc0\\u8217{} (2023) 218 {\\i{}Medical Journal of Australia} S19.","plainCitation":"A recent study found that 62.2% of surveyed participants had experienced some form of maltreatment during their childhood: Daryl J Higgins et al, ‘The Prevalence and Nature of Multi‐type Child Maltreatment in Australia’ (2023) 218 Medical Journal of Australia S19.","noteIndex":245},"citationItems":[{"id":2130,"uris":["http://zotero.org/users/local/OLPofQUL/items/QM94W2PJ"],"itemData":{"id":2130,"type":"article-journal","container-title":"Medical Journal of Australia","note":"ISBN: 0025-729X\npublisher: Wiley Online Library","page":"S19-S25","title":"The prevalence and nature of multi‐type child maltreatment in Australia","volume":"218","author":[{"family":"Higgins","given":"Daryl J."},{"family":"Mathews","given":"Ben"},{"family":"Pacella","given":"Rosana"},{"family":"Scott","given":"James G."},{"family":"Finkelhor","given":"David"},{"family":"Meinck","given":"Franziska"},{"family":"Erskine","given":"Holly E."},{"family":"Thomas","given":"Hannah J."},{"family":"Lawrence","given":"David M."},{"family":"Haslam","given":"Divna M."}],"issued":{"date-parts":[["2023"]]}},"label":"page","prefix":"A recent study found that 62.2% of surveyed participants had experienced some form of maltreatment during their childhood:"}],"schema":"https://github.com/citation-style-language/schema/raw/master/csl-citation.json"} </w:instrText>
      </w:r>
      <w:r w:rsidRPr="00030932">
        <w:rPr>
          <w:sz w:val="16"/>
          <w:szCs w:val="16"/>
        </w:rPr>
        <w:fldChar w:fldCharType="separate"/>
      </w:r>
      <w:r w:rsidR="00411EAE" w:rsidRPr="00030932">
        <w:rPr>
          <w:rFonts w:ascii="Calibri" w:hAnsi="Calibri" w:cs="Calibri"/>
          <w:sz w:val="16"/>
          <w:szCs w:val="16"/>
        </w:rPr>
        <w:t xml:space="preserve">A recent study found that 62.2% of surveyed participants had experienced some form of maltreatment during their childhood: Daryl J Higgins et al, ‘The Prevalence and Nature of Multi‐type Child Maltreatment in Australia’ (2023) 218 </w:t>
      </w:r>
      <w:r w:rsidR="00411EAE" w:rsidRPr="00030932">
        <w:rPr>
          <w:rFonts w:ascii="Calibri" w:hAnsi="Calibri" w:cs="Calibri"/>
          <w:i/>
          <w:iCs/>
          <w:sz w:val="16"/>
          <w:szCs w:val="16"/>
        </w:rPr>
        <w:t>Medical Journal of Australia</w:t>
      </w:r>
      <w:r w:rsidR="00411EAE" w:rsidRPr="00030932">
        <w:rPr>
          <w:rFonts w:ascii="Calibri" w:hAnsi="Calibri" w:cs="Calibri"/>
          <w:sz w:val="16"/>
          <w:szCs w:val="16"/>
        </w:rPr>
        <w:t xml:space="preserve"> S19.</w:t>
      </w:r>
      <w:r w:rsidRPr="00030932">
        <w:rPr>
          <w:sz w:val="16"/>
          <w:szCs w:val="16"/>
        </w:rPr>
        <w:fldChar w:fldCharType="end"/>
      </w:r>
    </w:p>
  </w:footnote>
  <w:footnote w:id="129">
    <w:p w14:paraId="21716255" w14:textId="17F4E398" w:rsidR="00E2123C" w:rsidRPr="00030932" w:rsidRDefault="00E2123C">
      <w:pPr>
        <w:pStyle w:val="FootnoteText"/>
        <w:rPr>
          <w:sz w:val="16"/>
          <w:szCs w:val="16"/>
        </w:rPr>
      </w:pPr>
      <w:r w:rsidRPr="00030932">
        <w:rPr>
          <w:rStyle w:val="FootnoteReference"/>
          <w:sz w:val="16"/>
          <w:szCs w:val="16"/>
        </w:rPr>
        <w:footnoteRef/>
      </w:r>
      <w:r w:rsidRPr="00030932">
        <w:rPr>
          <w:sz w:val="16"/>
          <w:szCs w:val="16"/>
        </w:rPr>
        <w:t xml:space="preserve"> </w:t>
      </w:r>
      <w:r w:rsidRPr="00030932">
        <w:rPr>
          <w:sz w:val="16"/>
          <w:szCs w:val="16"/>
        </w:rPr>
        <w:fldChar w:fldCharType="begin"/>
      </w:r>
      <w:r w:rsidR="00E33440" w:rsidRPr="00030932">
        <w:rPr>
          <w:sz w:val="16"/>
          <w:szCs w:val="16"/>
        </w:rPr>
        <w:instrText xml:space="preserve"> ADDIN ZOTERO_ITEM CSL_CITATION {"citationID":"w0g6RVrq","properties":{"formattedCitation":"James G Scott et al, \\uc0\\u8216{}The Association between Child Maltreatment and Mental Disorders in the Australian Child Maltreatment Study\\uc0\\u8217{} (2023) 218 {\\i{}Medical Journal of Australia} S26.","plainCitation":"James G Scott et al, ‘The Association between Child Maltreatment and Mental Disorders in the Australian Child Maltreatment Study’ (2023) 218 Medical Journal of Australia S26.","noteIndex":246},"citationItems":[{"id":2129,"uris":["http://zotero.org/users/local/OLPofQUL/items/PZRCMI68"],"itemData":{"id":2129,"type":"article-journal","container-title":"Medical Journal of Australia","note":"ISBN: 0025-729X\npublisher: Wiley Online Library","page":"S26-S33","title":"The association between child maltreatment and mental disorders in the Australian Child Maltreatment Study","volume":"218","author":[{"family":"Scott","given":"James G."},{"family":"Malacova","given":"Eva"},{"family":"Mathews","given":"Ben"},{"family":"Haslam","given":"Divna M."},{"family":"Pacella","given":"Rosana"},{"family":"Higgins","given":"Daryl J."},{"family":"Meinck","given":"Franziska"},{"family":"Dunne","given":"Michael P."},{"family":"Finkelhor","given":"David"},{"family":"Erskine","given":"Holly E."}],"issued":{"date-parts":[["2023"]]}}}],"schema":"https://github.com/citation-style-language/schema/raw/master/csl-citation.json"} </w:instrText>
      </w:r>
      <w:r w:rsidRPr="00030932">
        <w:rPr>
          <w:sz w:val="16"/>
          <w:szCs w:val="16"/>
        </w:rPr>
        <w:fldChar w:fldCharType="separate"/>
      </w:r>
      <w:r w:rsidRPr="00030932">
        <w:rPr>
          <w:rFonts w:ascii="Calibri" w:hAnsi="Calibri" w:cs="Calibri"/>
          <w:sz w:val="16"/>
          <w:szCs w:val="16"/>
        </w:rPr>
        <w:t xml:space="preserve">James G Scott et al, ‘The Association between Child Maltreatment and Mental Disorders in the Australian Child Maltreatment Study’ (2023) 218 </w:t>
      </w:r>
      <w:r w:rsidRPr="00030932">
        <w:rPr>
          <w:rFonts w:ascii="Calibri" w:hAnsi="Calibri" w:cs="Calibri"/>
          <w:i/>
          <w:iCs/>
          <w:sz w:val="16"/>
          <w:szCs w:val="16"/>
        </w:rPr>
        <w:t>Medical Journal of Australia</w:t>
      </w:r>
      <w:r w:rsidRPr="00030932">
        <w:rPr>
          <w:rFonts w:ascii="Calibri" w:hAnsi="Calibri" w:cs="Calibri"/>
          <w:sz w:val="16"/>
          <w:szCs w:val="16"/>
        </w:rPr>
        <w:t xml:space="preserve"> S26.</w:t>
      </w:r>
      <w:r w:rsidRPr="00030932">
        <w:rPr>
          <w:sz w:val="16"/>
          <w:szCs w:val="16"/>
        </w:rPr>
        <w:fldChar w:fldCharType="end"/>
      </w:r>
    </w:p>
  </w:footnote>
  <w:footnote w:id="130">
    <w:p w14:paraId="21A2BCB9" w14:textId="5253591F" w:rsidR="00234299" w:rsidRPr="00030932" w:rsidRDefault="00234299">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00500F5B" w:rsidRPr="00030932">
        <w:rPr>
          <w:rFonts w:cstheme="minorHAnsi"/>
          <w:i/>
          <w:sz w:val="16"/>
          <w:szCs w:val="16"/>
        </w:rPr>
        <w:t xml:space="preserve">Secretary to the Department of Human Services v Sanding </w:t>
      </w:r>
      <w:r w:rsidR="00500F5B" w:rsidRPr="00030932">
        <w:rPr>
          <w:rFonts w:cstheme="minorHAnsi"/>
          <w:sz w:val="16"/>
          <w:szCs w:val="16"/>
        </w:rPr>
        <w:t>(2011) 36 VR 221; [2011] VSC 42 at [145].</w:t>
      </w:r>
    </w:p>
  </w:footnote>
  <w:footnote w:id="131">
    <w:p w14:paraId="538CFF3C" w14:textId="12C85505" w:rsidR="00537823" w:rsidRPr="00030932" w:rsidRDefault="00537823" w:rsidP="00537823">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E33440" w:rsidRPr="00030932">
        <w:rPr>
          <w:rFonts w:cstheme="minorHAnsi"/>
          <w:sz w:val="16"/>
          <w:szCs w:val="16"/>
        </w:rPr>
        <w:instrText xml:space="preserve"> ADDIN ZOTERO_ITEM CSL_CITATION {"citationID":"4ZRRlULp","properties":{"formattedCitation":"State of Victoria, \\uc0\\u8216{}Royal Commission into Victoria\\uc0\\u8217{}s Mental Health System, Volume 3: Promoting Inclusion and Addressing Inequities\\uc0\\u8217{} (n 32) 128.","plainCitation":"State of Victoria, ‘Royal Commission into Victoria’s Mental Health System, Volume 3: Promoting Inclusion and Addressing Inequities’ (n 32) 128.","noteIndex":248},"citationItems":[{"id":545,"uris":["http://zotero.org/users/local/OLPofQUL/items/2CWX2S5X"],"itemData":{"id":545,"type":"report","number":"Parliamentary Paper no. 202, Session 2018-2021 (document 4 of 6)","publisher":"State of Victoria","title":"Royal Commission into Victoria's Mental Health System, Volume 3: Promoting inclusion and addressing inequities","URL":"https://finalreport.rcvmhs.vic.gov.au/download-report/","author":[{"family":"State of Victoria","given":""}],"issued":{"date-parts":[["2021"]]}},"locator":"128","label":"page"}],"schema":"https://github.com/citation-style-language/schema/raw/master/csl-citation.json"} </w:instrText>
      </w:r>
      <w:r w:rsidRPr="00030932">
        <w:rPr>
          <w:rFonts w:cstheme="minorHAnsi"/>
          <w:sz w:val="16"/>
          <w:szCs w:val="16"/>
        </w:rPr>
        <w:fldChar w:fldCharType="separate"/>
      </w:r>
      <w:r w:rsidR="00356F28" w:rsidRPr="00030932">
        <w:rPr>
          <w:rFonts w:ascii="Calibri" w:hAnsi="Calibri" w:cs="Calibri"/>
          <w:sz w:val="16"/>
          <w:szCs w:val="16"/>
        </w:rPr>
        <w:t>State of Victoria, ‘Royal Commission into Victoria’s Mental Health System, Volume 3: Promoting Inclusion and Addressing Inequities’ (n 32) 128.</w:t>
      </w:r>
      <w:r w:rsidRPr="00030932">
        <w:rPr>
          <w:rFonts w:cstheme="minorHAnsi"/>
          <w:sz w:val="16"/>
          <w:szCs w:val="16"/>
        </w:rPr>
        <w:fldChar w:fldCharType="end"/>
      </w:r>
    </w:p>
  </w:footnote>
  <w:footnote w:id="132">
    <w:p w14:paraId="63287EFB" w14:textId="5AC92256" w:rsidR="00537823" w:rsidRPr="00030932" w:rsidRDefault="00537823" w:rsidP="00537823">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E33440" w:rsidRPr="00030932">
        <w:rPr>
          <w:rFonts w:cstheme="minorHAnsi"/>
          <w:sz w:val="16"/>
          <w:szCs w:val="16"/>
        </w:rPr>
        <w:instrText xml:space="preserve"> ADDIN ZOTERO_ITEM CSL_CITATION {"citationID":"Uu0Mkb2h","properties":{"formattedCitation":"Graham Gee, {\\i{}Witness Statement 10 July 2019 to the Royal Commission into Victoria\\uc0\\u8217{}s Mental Health System} (2019) 11.","plainCitation":"Graham Gee, Witness Statement 10 July 2019 to the Royal Commission into Victoria’s Mental Health System (2019) 11.","noteIndex":249},"citationItems":[{"id":1963,"uris":["http://zotero.org/users/local/OLPofQUL/items/M2HH43E5"],"itemData":{"id":1963,"type":"report","title":"Witness Statement 10 July 2019 to the Royal Commission into Victoria’s Mental Health System","author":[{"family":"Gee","given":"Graham"}],"issued":{"date-parts":[["2019"]]}},"locator":"11","label":"page"}],"schema":"https://github.com/citation-style-language/schema/raw/master/csl-citation.json"} </w:instrText>
      </w:r>
      <w:r w:rsidRPr="00030932">
        <w:rPr>
          <w:rFonts w:cstheme="minorHAnsi"/>
          <w:sz w:val="16"/>
          <w:szCs w:val="16"/>
        </w:rPr>
        <w:fldChar w:fldCharType="separate"/>
      </w:r>
      <w:r w:rsidRPr="00030932">
        <w:rPr>
          <w:rFonts w:cstheme="minorHAnsi"/>
          <w:sz w:val="16"/>
          <w:szCs w:val="16"/>
        </w:rPr>
        <w:t xml:space="preserve">Graham Gee, </w:t>
      </w:r>
      <w:r w:rsidRPr="00030932">
        <w:rPr>
          <w:rFonts w:cstheme="minorHAnsi"/>
          <w:i/>
          <w:iCs/>
          <w:sz w:val="16"/>
          <w:szCs w:val="16"/>
        </w:rPr>
        <w:t>Witness Statement 10 July 2019 to the Royal Commission into Victoria’s Mental Health System</w:t>
      </w:r>
      <w:r w:rsidRPr="00030932">
        <w:rPr>
          <w:rFonts w:cstheme="minorHAnsi"/>
          <w:sz w:val="16"/>
          <w:szCs w:val="16"/>
        </w:rPr>
        <w:t xml:space="preserve"> (2019) 11.</w:t>
      </w:r>
      <w:r w:rsidRPr="00030932">
        <w:rPr>
          <w:rFonts w:cstheme="minorHAnsi"/>
          <w:sz w:val="16"/>
          <w:szCs w:val="16"/>
        </w:rPr>
        <w:fldChar w:fldCharType="end"/>
      </w:r>
    </w:p>
  </w:footnote>
  <w:footnote w:id="133">
    <w:p w14:paraId="239C4963" w14:textId="342F9A82" w:rsidR="00537823" w:rsidRPr="00030932" w:rsidRDefault="00537823" w:rsidP="00537823">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Recommendation 18.2: </w:t>
      </w:r>
      <w:r w:rsidRPr="00030932">
        <w:rPr>
          <w:rFonts w:cstheme="minorHAnsi"/>
          <w:sz w:val="16"/>
          <w:szCs w:val="16"/>
        </w:rPr>
        <w:fldChar w:fldCharType="begin"/>
      </w:r>
      <w:r w:rsidR="001131D7" w:rsidRPr="00030932">
        <w:rPr>
          <w:rFonts w:cstheme="minorHAnsi"/>
          <w:sz w:val="16"/>
          <w:szCs w:val="16"/>
        </w:rPr>
        <w:instrText xml:space="preserve"> ADDIN ZOTERO_ITEM CSL_CITATION {"citationID":"e3EQ1Cae","properties":{"formattedCitation":"State of Victoria, \\uc0\\u8216{}Royal Commission into Victoria\\uc0\\u8217{}s Mental Health System, Final Report, Summary and Recommendations\\uc0\\u8217{} (n 1).","plainCitation":"State of Victoria, ‘Royal Commission into Victoria’s Mental Health System, Final Report, Summary and Recommendations’ (n 1).","noteIndex":251},"citationItems":[{"id":1,"uris":["http://zotero.org/users/local/OLPofQUL/items/YYI3WW97"],"itemData":{"id":1,"type":"report","number":"Parliamentary Paper no. 202, Session 2018-2021 (document 1 of 6)","title":"Royal Commission into Victoria's Mental Health System, Final Report, Summary and recommendations","URL":"https://finalreport.rcvmhs.vic.gov.au/","author":[{"family":"State of Victoria","given":""}],"accessed":{"date-parts":[["2021",3,10]]},"issued":{"date-parts":[["2021"]]}}}],"schema":"https://github.com/citation-style-language/schema/raw/master/csl-citation.json"} </w:instrText>
      </w:r>
      <w:r w:rsidRPr="00030932">
        <w:rPr>
          <w:rFonts w:cstheme="minorHAnsi"/>
          <w:sz w:val="16"/>
          <w:szCs w:val="16"/>
        </w:rPr>
        <w:fldChar w:fldCharType="separate"/>
      </w:r>
      <w:r w:rsidR="001131D7" w:rsidRPr="00030932">
        <w:rPr>
          <w:rFonts w:ascii="Calibri" w:hAnsi="Calibri" w:cs="Calibri"/>
          <w:sz w:val="16"/>
          <w:szCs w:val="16"/>
        </w:rPr>
        <w:t>State of Victoria, ‘Royal Commission into Victoria’s Mental Health System, Final Report, Summary and Recommendations’ (n 1).</w:t>
      </w:r>
      <w:r w:rsidRPr="00030932">
        <w:rPr>
          <w:rFonts w:cstheme="minorHAnsi"/>
          <w:sz w:val="16"/>
          <w:szCs w:val="16"/>
        </w:rPr>
        <w:fldChar w:fldCharType="end"/>
      </w:r>
    </w:p>
  </w:footnote>
  <w:footnote w:id="134">
    <w:p w14:paraId="718B3C5D" w14:textId="5746BD02" w:rsidR="00C6107B" w:rsidRPr="00030932" w:rsidRDefault="00C6107B">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rPr>
        <w:t>Parliamentary debates, Legislative Assembly, 4 May</w:t>
      </w:r>
      <w:r w:rsidRPr="00030932">
        <w:rPr>
          <w:rFonts w:cstheme="minorHAnsi"/>
          <w:sz w:val="16"/>
          <w:szCs w:val="16"/>
        </w:rPr>
        <w:t xml:space="preserve"> (Victoria, 2006) 1293</w:t>
      </w:r>
      <w:r w:rsidR="00BC6339" w:rsidRPr="00030932">
        <w:rPr>
          <w:rFonts w:cstheme="minorHAnsi"/>
          <w:sz w:val="16"/>
          <w:szCs w:val="16"/>
        </w:rPr>
        <w:t>.</w:t>
      </w:r>
    </w:p>
  </w:footnote>
  <w:footnote w:id="135">
    <w:p w14:paraId="6E39B754" w14:textId="6AACAC9C" w:rsidR="00B57701" w:rsidRPr="00030932" w:rsidRDefault="00B57701">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Although all rights can be limited under the Charter, you will notice some human rights are considered absolute under international law. This means you have </w:t>
      </w:r>
      <w:r w:rsidR="00EE07A0" w:rsidRPr="00030932">
        <w:rPr>
          <w:rFonts w:cstheme="minorHAnsi"/>
          <w:sz w:val="16"/>
          <w:szCs w:val="16"/>
        </w:rPr>
        <w:t xml:space="preserve">to </w:t>
      </w:r>
      <w:r w:rsidRPr="00030932">
        <w:rPr>
          <w:rFonts w:cstheme="minorHAnsi"/>
          <w:sz w:val="16"/>
          <w:szCs w:val="16"/>
        </w:rPr>
        <w:t>consider them more carefully.</w:t>
      </w:r>
      <w:r w:rsidR="00236390" w:rsidRPr="00030932">
        <w:rPr>
          <w:rFonts w:cstheme="minorHAnsi"/>
          <w:sz w:val="16"/>
          <w:szCs w:val="16"/>
        </w:rPr>
        <w:t xml:space="preserve"> For example, treating the right </w:t>
      </w:r>
      <w:r w:rsidR="005438F2" w:rsidRPr="00030932">
        <w:rPr>
          <w:rFonts w:cstheme="minorHAnsi"/>
          <w:sz w:val="16"/>
          <w:szCs w:val="16"/>
        </w:rPr>
        <w:t xml:space="preserve">to protection of the family </w:t>
      </w:r>
      <w:r w:rsidR="00236390" w:rsidRPr="00030932">
        <w:rPr>
          <w:rFonts w:cstheme="minorHAnsi"/>
          <w:sz w:val="16"/>
          <w:szCs w:val="16"/>
        </w:rPr>
        <w:t xml:space="preserve">with care, but not </w:t>
      </w:r>
      <w:r w:rsidR="00214641" w:rsidRPr="00030932">
        <w:rPr>
          <w:rFonts w:cstheme="minorHAnsi"/>
          <w:sz w:val="16"/>
          <w:szCs w:val="16"/>
        </w:rPr>
        <w:t xml:space="preserve">of </w:t>
      </w:r>
      <w:r w:rsidR="00236390" w:rsidRPr="00030932">
        <w:rPr>
          <w:rFonts w:cstheme="minorHAnsi"/>
          <w:sz w:val="16"/>
          <w:szCs w:val="16"/>
        </w:rPr>
        <w:t>the same importance, as the right to be free from torture.</w:t>
      </w:r>
    </w:p>
  </w:footnote>
  <w:footnote w:id="136">
    <w:p w14:paraId="5CAB64F7" w14:textId="619B77B3" w:rsidR="00AC37A4" w:rsidRPr="00030932" w:rsidRDefault="00AC37A4">
      <w:pPr>
        <w:pStyle w:val="FootnoteText"/>
        <w:rPr>
          <w:sz w:val="16"/>
          <w:szCs w:val="16"/>
        </w:rPr>
      </w:pPr>
      <w:r w:rsidRPr="00030932">
        <w:rPr>
          <w:rStyle w:val="FootnoteReference"/>
          <w:sz w:val="16"/>
          <w:szCs w:val="16"/>
        </w:rPr>
        <w:footnoteRef/>
      </w:r>
      <w:r w:rsidRPr="00030932">
        <w:rPr>
          <w:sz w:val="16"/>
          <w:szCs w:val="16"/>
        </w:rPr>
        <w:t xml:space="preserve"> </w:t>
      </w:r>
      <w:r w:rsidRPr="00030932">
        <w:rPr>
          <w:sz w:val="16"/>
          <w:szCs w:val="16"/>
        </w:rPr>
        <w:fldChar w:fldCharType="begin"/>
      </w:r>
      <w:r w:rsidR="00E33440" w:rsidRPr="00030932">
        <w:rPr>
          <w:sz w:val="16"/>
          <w:szCs w:val="16"/>
        </w:rPr>
        <w:instrText xml:space="preserve"> ADDIN ZOTERO_ITEM CSL_CITATION {"citationID":"8g5TSFKq","properties":{"formattedCitation":"Victoria Government, \\uc0\\u8216{}A New Mental Health and Wellbeing Act for Victoria: Youth Mental Health and Wellbeing Victoria\\uc0\\u8217{} (June 2022) &lt;https://nla.gov.au/nla.obj-3125294297/view&gt;.","plainCitation":"Victoria Government, ‘A New Mental Health and Wellbeing Act for Victoria: Youth Mental Health and Wellbeing Victoria’ (June 2022) &lt;https://nla.gov.au/nla.obj-3125294297/view&gt;.","noteIndex":253},"citationItems":[{"id":2131,"uris":["http://zotero.org/users/local/OLPofQUL/items/3KNUYDBP"],"itemData":{"id":2131,"type":"webpage","title":"A new Mental Health and Wellbeing Act for Victoria: Youth Mental Health and Wellbeing Victoria","URL":"https://nla.gov.au/nla.obj-3125294297/view","author":[{"family":"Victoria Government","given":""}],"issued":{"date-parts":[["2022",6]]}}}],"schema":"https://github.com/citation-style-language/schema/raw/master/csl-citation.json"} </w:instrText>
      </w:r>
      <w:r w:rsidRPr="00030932">
        <w:rPr>
          <w:sz w:val="16"/>
          <w:szCs w:val="16"/>
        </w:rPr>
        <w:fldChar w:fldCharType="separate"/>
      </w:r>
      <w:r w:rsidRPr="00030932">
        <w:rPr>
          <w:rFonts w:ascii="Calibri" w:hAnsi="Calibri" w:cs="Calibri"/>
          <w:sz w:val="16"/>
          <w:szCs w:val="16"/>
        </w:rPr>
        <w:t>Victoria Government, ‘A New Mental Health and Wellbeing Act for Victoria: Youth Mental Health and Wellbeing Victoria’ (June 2022) &lt;https://nla.gov.au/nla.obj-3125294297/view&gt;.</w:t>
      </w:r>
      <w:r w:rsidRPr="00030932">
        <w:rPr>
          <w:sz w:val="16"/>
          <w:szCs w:val="16"/>
        </w:rPr>
        <w:fldChar w:fldCharType="end"/>
      </w:r>
    </w:p>
  </w:footnote>
  <w:footnote w:id="137">
    <w:p w14:paraId="4F303148" w14:textId="77777777" w:rsidR="007F0E77" w:rsidRPr="00030932" w:rsidRDefault="007F0E77" w:rsidP="007F0E77">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sz w:val="16"/>
          <w:szCs w:val="16"/>
        </w:rPr>
        <w:t>Convention on the Rights of the Child</w:t>
      </w:r>
      <w:r w:rsidRPr="00030932">
        <w:rPr>
          <w:rFonts w:cstheme="minorHAnsi"/>
          <w:sz w:val="16"/>
          <w:szCs w:val="16"/>
        </w:rPr>
        <w:t>, opened for signature 20 November 1989, 1577 UNTS 3 (</w:t>
      </w:r>
      <w:r w:rsidRPr="00030932">
        <w:rPr>
          <w:rFonts w:cstheme="minorHAnsi"/>
          <w:b/>
          <w:bCs/>
          <w:sz w:val="16"/>
          <w:szCs w:val="16"/>
        </w:rPr>
        <w:t>CRoC</w:t>
      </w:r>
      <w:r w:rsidRPr="00030932">
        <w:rPr>
          <w:rFonts w:cstheme="minorHAnsi"/>
          <w:sz w:val="16"/>
          <w:szCs w:val="16"/>
        </w:rPr>
        <w:t>).</w:t>
      </w:r>
    </w:p>
  </w:footnote>
  <w:footnote w:id="138">
    <w:p w14:paraId="7D47F0C4" w14:textId="463B8672" w:rsidR="00580891" w:rsidRPr="00030932" w:rsidRDefault="00580891">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005D0A69" w:rsidRPr="00030932">
        <w:rPr>
          <w:rFonts w:cstheme="minorHAnsi"/>
          <w:i/>
          <w:sz w:val="16"/>
          <w:szCs w:val="16"/>
        </w:rPr>
        <w:t xml:space="preserve">Mental Health and Wellbeing Act 2022 </w:t>
      </w:r>
      <w:r w:rsidR="005D0A69" w:rsidRPr="00030932">
        <w:rPr>
          <w:rFonts w:cstheme="minorHAnsi"/>
          <w:sz w:val="16"/>
          <w:szCs w:val="16"/>
        </w:rPr>
        <w:t>(Vic) s</w:t>
      </w:r>
      <w:r w:rsidR="00834A73" w:rsidRPr="00030932">
        <w:rPr>
          <w:rFonts w:cstheme="minorHAnsi"/>
          <w:sz w:val="16"/>
          <w:szCs w:val="16"/>
        </w:rPr>
        <w:t xml:space="preserve"> 24.</w:t>
      </w:r>
    </w:p>
  </w:footnote>
  <w:footnote w:id="139">
    <w:p w14:paraId="33CF584C" w14:textId="0953A2AC" w:rsidR="002C6CE6" w:rsidRPr="00030932" w:rsidRDefault="002C6CE6">
      <w:pPr>
        <w:pStyle w:val="FootnoteText"/>
        <w:rPr>
          <w:sz w:val="16"/>
          <w:szCs w:val="16"/>
        </w:rPr>
      </w:pPr>
      <w:r w:rsidRPr="00030932">
        <w:rPr>
          <w:rStyle w:val="FootnoteReference"/>
          <w:sz w:val="16"/>
          <w:szCs w:val="16"/>
        </w:rPr>
        <w:footnoteRef/>
      </w:r>
      <w:r w:rsidRPr="00030932">
        <w:rPr>
          <w:sz w:val="16"/>
          <w:szCs w:val="16"/>
        </w:rPr>
        <w:t xml:space="preserve"> </w:t>
      </w:r>
      <w:r w:rsidRPr="00030932">
        <w:rPr>
          <w:sz w:val="16"/>
          <w:szCs w:val="16"/>
        </w:rPr>
        <w:fldChar w:fldCharType="begin"/>
      </w:r>
      <w:r w:rsidR="00E33440" w:rsidRPr="00030932">
        <w:rPr>
          <w:sz w:val="16"/>
          <w:szCs w:val="16"/>
        </w:rPr>
        <w:instrText xml:space="preserve"> ADDIN ZOTERO_ITEM CSL_CITATION {"citationID":"2xKMu5pJ","properties":{"formattedCitation":"Emma Tseris, \\uc0\\u8216{}The Psychiatric Surveillance of Pregnancy and Early Parenting\\uc0\\u8217{} [2022] {\\i{}Troubled Persons Industries: The Expansion of Psychiatric Categories beyond Psychiatry} 171, 180.","plainCitation":"Emma Tseris, ‘The Psychiatric Surveillance of Pregnancy and Early Parenting’ [2022] Troubled Persons Industries: The Expansion of Psychiatric Categories beyond Psychiatry 171, 180.","noteIndex":261},"citationItems":[{"id":2128,"uris":["http://zotero.org/users/local/OLPofQUL/items/NBIUNM9G"],"itemData":{"id":2128,"type":"article-journal","container-title":"Troubled Persons Industries: The Expansion of Psychiatric Categories beyond Psychiatry","note":"ISBN: 3030837440\npublisher: Springer","page":"171-191","title":"The Psychiatric Surveillance of Pregnancy and Early Parenting","author":[{"family":"Tseris","given":"Emma"}],"issued":{"date-parts":[["2022"]]}},"locator":"180","label":"page"}],"schema":"https://github.com/citation-style-language/schema/raw/master/csl-citation.json"} </w:instrText>
      </w:r>
      <w:r w:rsidRPr="00030932">
        <w:rPr>
          <w:sz w:val="16"/>
          <w:szCs w:val="16"/>
        </w:rPr>
        <w:fldChar w:fldCharType="separate"/>
      </w:r>
      <w:r w:rsidR="002F51C1" w:rsidRPr="00030932">
        <w:rPr>
          <w:rFonts w:ascii="Calibri" w:hAnsi="Calibri" w:cs="Calibri"/>
          <w:sz w:val="16"/>
          <w:szCs w:val="16"/>
        </w:rPr>
        <w:t xml:space="preserve">Emma Tseris, ‘The Psychiatric Surveillance of Pregnancy and Early Parenting’ [2022] </w:t>
      </w:r>
      <w:r w:rsidR="002F51C1" w:rsidRPr="00030932">
        <w:rPr>
          <w:rFonts w:ascii="Calibri" w:hAnsi="Calibri" w:cs="Calibri"/>
          <w:i/>
          <w:iCs/>
          <w:sz w:val="16"/>
          <w:szCs w:val="16"/>
        </w:rPr>
        <w:t>Troubled Persons Industries: The Expansion of Psychiatric Categories beyond Psychiatry</w:t>
      </w:r>
      <w:r w:rsidR="002F51C1" w:rsidRPr="00030932">
        <w:rPr>
          <w:rFonts w:ascii="Calibri" w:hAnsi="Calibri" w:cs="Calibri"/>
          <w:sz w:val="16"/>
          <w:szCs w:val="16"/>
        </w:rPr>
        <w:t xml:space="preserve"> 171, 180.</w:t>
      </w:r>
      <w:r w:rsidRPr="00030932">
        <w:rPr>
          <w:sz w:val="16"/>
          <w:szCs w:val="16"/>
        </w:rPr>
        <w:fldChar w:fldCharType="end"/>
      </w:r>
    </w:p>
  </w:footnote>
  <w:footnote w:id="140">
    <w:p w14:paraId="73993994" w14:textId="28017FDC" w:rsidR="00C95D45" w:rsidRPr="00030932" w:rsidRDefault="00C95D45">
      <w:pPr>
        <w:pStyle w:val="FootnoteText"/>
        <w:rPr>
          <w:sz w:val="16"/>
          <w:szCs w:val="16"/>
        </w:rPr>
      </w:pPr>
      <w:r w:rsidRPr="00030932">
        <w:rPr>
          <w:rStyle w:val="FootnoteReference"/>
          <w:sz w:val="16"/>
          <w:szCs w:val="16"/>
        </w:rPr>
        <w:footnoteRef/>
      </w:r>
      <w:r w:rsidRPr="00030932">
        <w:rPr>
          <w:sz w:val="16"/>
          <w:szCs w:val="16"/>
        </w:rPr>
        <w:t xml:space="preserve"> </w:t>
      </w:r>
      <w:r w:rsidRPr="00030932">
        <w:rPr>
          <w:sz w:val="16"/>
          <w:szCs w:val="16"/>
        </w:rPr>
        <w:fldChar w:fldCharType="begin"/>
      </w:r>
      <w:r w:rsidR="00E33440" w:rsidRPr="00030932">
        <w:rPr>
          <w:sz w:val="16"/>
          <w:szCs w:val="16"/>
        </w:rPr>
        <w:instrText xml:space="preserve"> ADDIN ZOTERO_ITEM CSL_CITATION {"citationID":"3h3PGnee","properties":{"formattedCitation":"Valerie Braithwaite, \\uc0\\u8216{}Institutional Oppression That Silences Child Protection Reform\\uc0\\u8217{} [2021] {\\i{}International Journal on Child Maltreatment: Research, Policy and Practice} 1.","plainCitation":"Valerie Braithwaite, ‘Institutional Oppression That Silences Child Protection Reform’ [2021] International Journal on Child Maltreatment: Research, Policy and Practice 1.","noteIndex":262},"citationItems":[{"id":220,"uris":["http://zotero.org/users/local/OLPofQUL/items/F475A472"],"itemData":{"id":220,"type":"article-journal","container-title":"International Journal on Child Maltreatment: Research, Policy and Practice","note":"ISBN: 2524-5244\npublisher: Springer","page":"1-24","title":"Institutional Oppression That Silences Child Protection Reform","author":[{"family":"Braithwaite","given":"Valerie"}],"issued":{"date-parts":[["2021"]]}}}],"schema":"https://github.com/citation-style-language/schema/raw/master/csl-citation.json"} </w:instrText>
      </w:r>
      <w:r w:rsidRPr="00030932">
        <w:rPr>
          <w:sz w:val="16"/>
          <w:szCs w:val="16"/>
        </w:rPr>
        <w:fldChar w:fldCharType="separate"/>
      </w:r>
      <w:r w:rsidRPr="00030932">
        <w:rPr>
          <w:rFonts w:ascii="Calibri" w:hAnsi="Calibri" w:cs="Calibri"/>
          <w:sz w:val="16"/>
          <w:szCs w:val="16"/>
        </w:rPr>
        <w:t xml:space="preserve">Valerie Braithwaite, ‘Institutional Oppression That Silences Child Protection Reform’ [2021] </w:t>
      </w:r>
      <w:r w:rsidRPr="00030932">
        <w:rPr>
          <w:rFonts w:ascii="Calibri" w:hAnsi="Calibri" w:cs="Calibri"/>
          <w:i/>
          <w:iCs/>
          <w:sz w:val="16"/>
          <w:szCs w:val="16"/>
        </w:rPr>
        <w:t>International Journal on Child Maltreatment: Research, Policy and Practice</w:t>
      </w:r>
      <w:r w:rsidRPr="00030932">
        <w:rPr>
          <w:rFonts w:ascii="Calibri" w:hAnsi="Calibri" w:cs="Calibri"/>
          <w:sz w:val="16"/>
          <w:szCs w:val="16"/>
        </w:rPr>
        <w:t xml:space="preserve"> 1.</w:t>
      </w:r>
      <w:r w:rsidRPr="00030932">
        <w:rPr>
          <w:sz w:val="16"/>
          <w:szCs w:val="16"/>
        </w:rPr>
        <w:fldChar w:fldCharType="end"/>
      </w:r>
    </w:p>
  </w:footnote>
  <w:footnote w:id="141">
    <w:p w14:paraId="5E3629F8" w14:textId="001A3226" w:rsidR="00997A56" w:rsidRPr="00030932" w:rsidRDefault="00997A56">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1131D7" w:rsidRPr="00030932">
        <w:rPr>
          <w:rFonts w:cstheme="minorHAnsi"/>
          <w:sz w:val="16"/>
          <w:szCs w:val="16"/>
        </w:rPr>
        <w:instrText xml:space="preserve"> ADDIN ZOTERO_ITEM CSL_CITATION {"citationID":"jHelSI1I","properties":{"formattedCitation":"For important historical accounts of these processes, including of deinstitutinalisation, see: Gooding, \\uc0\\u8216{}From Deinstitutionalisation to Consumer Empowerment: Mental Health Policy, Neoliberal Restructuring and the Closure of the \\uc0\\u8220{}Big Bins\\uc0\\u8221{} in Victoria\\uc0\\u8217{} (n 2); Gooding, \\uc0\\u8216{}\\uc0\\u8220{}The Government Is the Cause of the Disease and We Are Stuck with the Symptoms\\uc0\\u8221{}: Deinstitutionalisation, Mental Health Advocacy and Police Shootings in 1990s Victoria\\uc0\\u8217{} (n 2).","plainCitation":"For important historical accounts of these processes, including of deinstitutinalisation, see: Gooding, ‘From Deinstitutionalisation to Consumer Empowerment: Mental Health Policy, Neoliberal Restructuring and the Closure of the “Big Bins” in Victoria’ (n 2); Gooding, ‘“The Government Is the Cause of the Disease and We Are Stuck with the Symptoms”: Deinstitutionalisation, Mental Health Advocacy and Police Shootings in 1990s Victoria’ (n 2).","noteIndex":264},"citationItems":[{"id":23,"uris":["http://zotero.org/users/local/OLPofQUL/items/2URT73JD"],"itemData":{"id":23,"type":"article-journal","container-title":"Health Sociology Review","ISSN":"1446-1242","issue":"1","page":"33-47","title":"From deinstitutionalisation to consumer empowerment: Mental health policy, neoliberal restructuring and the closure of the ‘Big bins’ in Victoria","volume":"25","author":[{"family":"Gooding","given":"Piers"}],"issued":{"date-parts":[["2016"]]}},"label":"page","prefix":"For important historical accounts of these processes, including of deinstitutinalisation, see:"},{"id":24,"uris":["http://zotero.org/users/local/OLPofQUL/items/RMW5CTUX"],"itemData":{"id":24,"type":"article-journal","container-title":"Continuum","ISSN":"1030-4312","issue":"3","page":"436-446","title":"‘The government is the cause of the disease and we are stuck with the symptoms’: deinstitutionalisation, mental health advocacy and police shootings in 1990s Victoria","volume":"31","author":[{"family":"Gooding","given":"Piers"}],"issued":{"date-parts":[["2017"]]}}}],"schema":"https://github.com/citation-style-language/schema/raw/master/csl-citation.json"} </w:instrText>
      </w:r>
      <w:r w:rsidRPr="00030932">
        <w:rPr>
          <w:rFonts w:cstheme="minorHAnsi"/>
          <w:sz w:val="16"/>
          <w:szCs w:val="16"/>
        </w:rPr>
        <w:fldChar w:fldCharType="separate"/>
      </w:r>
      <w:r w:rsidR="001131D7" w:rsidRPr="00030932">
        <w:rPr>
          <w:rFonts w:ascii="Calibri" w:hAnsi="Calibri" w:cs="Calibri"/>
          <w:sz w:val="16"/>
          <w:szCs w:val="16"/>
        </w:rPr>
        <w:t>For important historical accounts of these processes, including of deinstituti</w:t>
      </w:r>
      <w:r w:rsidR="007C51AB">
        <w:rPr>
          <w:rFonts w:ascii="Calibri" w:hAnsi="Calibri" w:cs="Calibri"/>
          <w:sz w:val="16"/>
          <w:szCs w:val="16"/>
        </w:rPr>
        <w:t>o</w:t>
      </w:r>
      <w:r w:rsidR="001131D7" w:rsidRPr="00030932">
        <w:rPr>
          <w:rFonts w:ascii="Calibri" w:hAnsi="Calibri" w:cs="Calibri"/>
          <w:sz w:val="16"/>
          <w:szCs w:val="16"/>
        </w:rPr>
        <w:t>nalisation, see: Gooding, ‘From Deinstitutionalisation to Consumer Empowerment: Mental Health Policy, Neoliberal Restructuring and the Closure of the “Big Bins” in Victoria’ (n 2); Gooding, ‘“The Government Is the Cause of the Disease and We Are Stuck with the Symptoms”: Deinstitutionalisation, Mental Health Advocacy and Police Shootings in 1990s Victoria’ (n 2).</w:t>
      </w:r>
      <w:r w:rsidRPr="00030932">
        <w:rPr>
          <w:rFonts w:cstheme="minorHAnsi"/>
          <w:sz w:val="16"/>
          <w:szCs w:val="16"/>
        </w:rPr>
        <w:fldChar w:fldCharType="end"/>
      </w:r>
    </w:p>
  </w:footnote>
  <w:footnote w:id="142">
    <w:p w14:paraId="2EB3A6C7" w14:textId="083E5ECA" w:rsidR="004D6682" w:rsidRPr="00030932" w:rsidRDefault="004D6682">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E33440" w:rsidRPr="00030932">
        <w:rPr>
          <w:rFonts w:cstheme="minorHAnsi"/>
          <w:sz w:val="16"/>
          <w:szCs w:val="16"/>
        </w:rPr>
        <w:instrText xml:space="preserve"> ADDIN ZOTERO_ITEM CSL_CITATION {"citationID":"44PzH1WM","properties":{"formattedCitation":"The Royal Commission discussed this in detail, see: State of Victoria, \\uc0\\u8216{}Royal Commission into Victoria\\uc0\\u8217{}s Mental Health System, Volume 3: Promoting Inclusion and Addressing Inequities\\uc0\\u8217{} (n 32) 18\\uc0\\u8211{}25.","plainCitation":"The Royal Commission discussed this in detail, see: State of Victoria, ‘Royal Commission into Victoria’s Mental Health System, Volume 3: Promoting Inclusion and Addressing Inequities’ (n 32) 18–25.","noteIndex":264},"citationItems":[{"id":545,"uris":["http://zotero.org/users/local/OLPofQUL/items/2CWX2S5X"],"itemData":{"id":545,"type":"report","number":"Parliamentary Paper no. 202, Session 2018-2021 (document 4 of 6)","publisher":"State of Victoria","title":"Royal Commission into Victoria's Mental Health System, Volume 3: Promoting inclusion and addressing inequities","URL":"https://finalreport.rcvmhs.vic.gov.au/download-report/","author":[{"family":"State of Victoria","given":""}],"issued":{"date-parts":[["2021"]]}},"locator":"18-25","label":"page","prefix":"The Royal Commission discussed this in detail, see:"}],"schema":"https://github.com/citation-style-language/schema/raw/master/csl-citation.json"} </w:instrText>
      </w:r>
      <w:r w:rsidRPr="00030932">
        <w:rPr>
          <w:rFonts w:cstheme="minorHAnsi"/>
          <w:sz w:val="16"/>
          <w:szCs w:val="16"/>
        </w:rPr>
        <w:fldChar w:fldCharType="separate"/>
      </w:r>
      <w:r w:rsidR="00356F28" w:rsidRPr="00030932">
        <w:rPr>
          <w:rFonts w:ascii="Calibri" w:hAnsi="Calibri" w:cs="Calibri"/>
          <w:sz w:val="16"/>
          <w:szCs w:val="16"/>
        </w:rPr>
        <w:t>The Royal Commission discussed this in detail, see: State of Victoria, ‘Royal Commission into Victoria’s Mental Health System, Volume 3: Promoting Inclusion and Addressing Inequities’ (n 32) 18–25.</w:t>
      </w:r>
      <w:r w:rsidRPr="00030932">
        <w:rPr>
          <w:rFonts w:cstheme="minorHAnsi"/>
          <w:sz w:val="16"/>
          <w:szCs w:val="16"/>
        </w:rPr>
        <w:fldChar w:fldCharType="end"/>
      </w:r>
    </w:p>
  </w:footnote>
  <w:footnote w:id="143">
    <w:p w14:paraId="7FE3AE3E" w14:textId="704D3967" w:rsidR="00182127" w:rsidRPr="00030932" w:rsidRDefault="00182127">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00084D7D" w:rsidRPr="00030932">
        <w:rPr>
          <w:rFonts w:cstheme="minorHAnsi"/>
          <w:sz w:val="16"/>
          <w:szCs w:val="16"/>
        </w:rPr>
        <w:t>CRPD</w:t>
      </w:r>
      <w:r w:rsidR="00192DC2" w:rsidRPr="00030932">
        <w:rPr>
          <w:rFonts w:cstheme="minorHAnsi"/>
          <w:sz w:val="16"/>
          <w:szCs w:val="16"/>
        </w:rPr>
        <w:t xml:space="preserve"> art</w:t>
      </w:r>
      <w:r w:rsidR="00F118AA" w:rsidRPr="00030932">
        <w:rPr>
          <w:rFonts w:cstheme="minorHAnsi"/>
          <w:sz w:val="16"/>
          <w:szCs w:val="16"/>
        </w:rPr>
        <w:t>s</w:t>
      </w:r>
      <w:r w:rsidR="00192DC2" w:rsidRPr="00030932">
        <w:rPr>
          <w:rFonts w:cstheme="minorHAnsi"/>
          <w:sz w:val="16"/>
          <w:szCs w:val="16"/>
        </w:rPr>
        <w:t xml:space="preserve"> 4(3) &amp; 33(1).</w:t>
      </w:r>
    </w:p>
  </w:footnote>
  <w:footnote w:id="144">
    <w:p w14:paraId="7778B6CF" w14:textId="1D7655C8" w:rsidR="00226FAE" w:rsidRPr="00030932" w:rsidRDefault="00EC0442">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00123B24" w:rsidRPr="00030932">
        <w:rPr>
          <w:rFonts w:cstheme="minorHAnsi"/>
          <w:sz w:val="16"/>
          <w:szCs w:val="16"/>
        </w:rPr>
        <w:fldChar w:fldCharType="begin"/>
      </w:r>
      <w:r w:rsidR="005A3579">
        <w:rPr>
          <w:rFonts w:cstheme="minorHAnsi"/>
          <w:sz w:val="16"/>
          <w:szCs w:val="16"/>
        </w:rPr>
        <w:instrText xml:space="preserve"> ADDIN ZOTERO_ITEM CSL_CITATION {"citationID":"PIULRMdl","properties":{"formattedCitation":"Human Rights Committee, {\\i{}General Comment No 25 (Right to Participate in Public Affairs)} (57th session, UN Dox CCPR/C/21/Rev.1/Add.7, (12 July 1996)).","plainCitation":"Human Rights Committee, General Comment No 25 (Right to Participate in Public Affairs) (57th session, UN Dox CCPR/C/21/Rev.1/Add.7, (12 July 1996)).","dontUpdate":true,"noteIndex":268},"citationItems":[{"id":2045,"uris":["http://zotero.org/users/local/OLPofQUL/items/LINWXR5K"],"itemData":{"id":2045,"type":"book","publisher":"57th session, UN Dox CCPR/C/21/Rev.1/Add.7, (12 July 1996)","title":"General Comment No 25 (Right to participate in public affairs)","author":[{"family":"Human Rights Committee","given":""}]}}],"schema":"https://github.com/citation-style-language/schema/raw/master/csl-citation.json"} </w:instrText>
      </w:r>
      <w:r w:rsidR="00123B24" w:rsidRPr="00030932">
        <w:rPr>
          <w:rFonts w:cstheme="minorHAnsi"/>
          <w:sz w:val="16"/>
          <w:szCs w:val="16"/>
        </w:rPr>
        <w:fldChar w:fldCharType="separate"/>
      </w:r>
      <w:r w:rsidR="00123B24" w:rsidRPr="00030932">
        <w:rPr>
          <w:rFonts w:cstheme="minorHAnsi"/>
          <w:sz w:val="16"/>
          <w:szCs w:val="16"/>
        </w:rPr>
        <w:t xml:space="preserve">Human Rights Committee, </w:t>
      </w:r>
      <w:r w:rsidR="00123B24" w:rsidRPr="00030932">
        <w:rPr>
          <w:rFonts w:cstheme="minorHAnsi"/>
          <w:i/>
          <w:sz w:val="16"/>
          <w:szCs w:val="16"/>
        </w:rPr>
        <w:t>General Comment No 25 (Right to Participate in Public Affairs)</w:t>
      </w:r>
      <w:r w:rsidR="00CD3B6D" w:rsidRPr="00030932">
        <w:rPr>
          <w:rFonts w:cstheme="minorHAnsi"/>
          <w:i/>
          <w:sz w:val="16"/>
          <w:szCs w:val="16"/>
        </w:rPr>
        <w:t>,</w:t>
      </w:r>
      <w:r w:rsidR="00123B24" w:rsidRPr="00030932">
        <w:rPr>
          <w:rFonts w:cstheme="minorHAnsi"/>
          <w:sz w:val="16"/>
          <w:szCs w:val="16"/>
        </w:rPr>
        <w:t xml:space="preserve"> 57th session, UN Do</w:t>
      </w:r>
      <w:r w:rsidR="00CD3B6D" w:rsidRPr="00030932">
        <w:rPr>
          <w:rFonts w:cstheme="minorHAnsi"/>
          <w:sz w:val="16"/>
          <w:szCs w:val="16"/>
        </w:rPr>
        <w:t>c</w:t>
      </w:r>
      <w:r w:rsidR="00123B24" w:rsidRPr="00030932">
        <w:rPr>
          <w:rFonts w:cstheme="minorHAnsi"/>
          <w:sz w:val="16"/>
          <w:szCs w:val="16"/>
        </w:rPr>
        <w:t xml:space="preserve"> CCPR/C/21/Rev.1/Add.7, (12 July 1996)</w:t>
      </w:r>
      <w:r w:rsidR="00123B24" w:rsidRPr="00030932">
        <w:rPr>
          <w:rFonts w:cstheme="minorHAnsi"/>
          <w:sz w:val="16"/>
          <w:szCs w:val="16"/>
        </w:rPr>
        <w:fldChar w:fldCharType="end"/>
      </w:r>
      <w:r w:rsidR="00CD360E" w:rsidRPr="00030932">
        <w:rPr>
          <w:rStyle w:val="Emphasis"/>
          <w:rFonts w:cstheme="minorHAnsi"/>
          <w:i w:val="0"/>
          <w:iCs w:val="0"/>
          <w:sz w:val="16"/>
          <w:szCs w:val="16"/>
        </w:rPr>
        <w:t xml:space="preserve"> at [5]</w:t>
      </w:r>
      <w:r w:rsidR="00CD3B6D" w:rsidRPr="00030932">
        <w:rPr>
          <w:rStyle w:val="Emphasis"/>
          <w:rFonts w:cstheme="minorHAnsi"/>
          <w:i w:val="0"/>
          <w:iCs w:val="0"/>
          <w:sz w:val="16"/>
          <w:szCs w:val="16"/>
        </w:rPr>
        <w:t>.</w:t>
      </w:r>
    </w:p>
  </w:footnote>
  <w:footnote w:id="145">
    <w:p w14:paraId="10CBF58A" w14:textId="1CBB9748" w:rsidR="00200B7E" w:rsidRPr="00030932" w:rsidRDefault="00200B7E">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00E35F17" w:rsidRPr="00030932">
        <w:rPr>
          <w:rFonts w:cstheme="minorHAnsi"/>
          <w:i/>
          <w:sz w:val="16"/>
          <w:szCs w:val="16"/>
        </w:rPr>
        <w:t>Slattery v Manningham City Council</w:t>
      </w:r>
      <w:r w:rsidR="00E35F17" w:rsidRPr="00030932">
        <w:rPr>
          <w:rFonts w:cstheme="minorHAnsi"/>
          <w:sz w:val="16"/>
          <w:szCs w:val="16"/>
        </w:rPr>
        <w:t xml:space="preserve"> [2013] VCAT 1869.</w:t>
      </w:r>
    </w:p>
  </w:footnote>
  <w:footnote w:id="146">
    <w:p w14:paraId="286FD476" w14:textId="236FCE09" w:rsidR="00E35F17" w:rsidRPr="00030932" w:rsidRDefault="00E35F17">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sz w:val="16"/>
          <w:szCs w:val="16"/>
        </w:rPr>
        <w:t>R v Chaarani (Ruling No 1)</w:t>
      </w:r>
      <w:r w:rsidRPr="00030932">
        <w:rPr>
          <w:rFonts w:cstheme="minorHAnsi"/>
          <w:sz w:val="16"/>
          <w:szCs w:val="16"/>
        </w:rPr>
        <w:t xml:space="preserve"> [2018 VSC 387.</w:t>
      </w:r>
    </w:p>
  </w:footnote>
  <w:footnote w:id="147">
    <w:p w14:paraId="5D59FB22" w14:textId="5D93566A" w:rsidR="000369BB" w:rsidRPr="00030932" w:rsidRDefault="000369BB">
      <w:pPr>
        <w:pStyle w:val="FootnoteText"/>
        <w:rPr>
          <w:rFonts w:cstheme="minorHAnsi"/>
          <w:i/>
          <w:sz w:val="16"/>
          <w:szCs w:val="16"/>
        </w:rPr>
      </w:pPr>
      <w:r w:rsidRPr="00030932">
        <w:rPr>
          <w:rStyle w:val="FootnoteReference"/>
          <w:sz w:val="16"/>
          <w:szCs w:val="16"/>
        </w:rPr>
        <w:footnoteRef/>
      </w:r>
      <w:r w:rsidRPr="00030932">
        <w:rPr>
          <w:rFonts w:cstheme="minorHAnsi"/>
          <w:sz w:val="16"/>
          <w:szCs w:val="16"/>
        </w:rPr>
        <w:t xml:space="preserve"> For an example, see page in this guide that illustrates where a local council failed to </w:t>
      </w:r>
      <w:r w:rsidR="002D2A72" w:rsidRPr="00030932">
        <w:rPr>
          <w:rFonts w:cstheme="minorHAnsi"/>
          <w:sz w:val="16"/>
          <w:szCs w:val="16"/>
        </w:rPr>
        <w:t xml:space="preserve">justify limitations on this right: </w:t>
      </w:r>
      <w:r w:rsidR="002D2A72" w:rsidRPr="00030932">
        <w:rPr>
          <w:rFonts w:cstheme="minorHAnsi"/>
          <w:i/>
          <w:sz w:val="16"/>
          <w:szCs w:val="16"/>
        </w:rPr>
        <w:t>Slattery v Manningham City Council</w:t>
      </w:r>
      <w:r w:rsidR="002D2A72" w:rsidRPr="00030932">
        <w:rPr>
          <w:rFonts w:cstheme="minorHAnsi"/>
          <w:sz w:val="16"/>
          <w:szCs w:val="16"/>
        </w:rPr>
        <w:t xml:space="preserve"> [2013] VCAT 1869.</w:t>
      </w:r>
    </w:p>
  </w:footnote>
  <w:footnote w:id="148">
    <w:p w14:paraId="58482F36" w14:textId="4B98A00B" w:rsidR="005E267C" w:rsidRPr="00030932" w:rsidRDefault="005E267C">
      <w:pPr>
        <w:pStyle w:val="FootnoteText"/>
        <w:rPr>
          <w:sz w:val="16"/>
          <w:szCs w:val="16"/>
        </w:rPr>
      </w:pPr>
      <w:r w:rsidRPr="00030932">
        <w:rPr>
          <w:rStyle w:val="FootnoteReference"/>
          <w:sz w:val="16"/>
          <w:szCs w:val="16"/>
        </w:rPr>
        <w:footnoteRef/>
      </w:r>
      <w:r w:rsidRPr="00030932">
        <w:rPr>
          <w:sz w:val="16"/>
          <w:szCs w:val="16"/>
        </w:rPr>
        <w:t xml:space="preserve"> </w:t>
      </w:r>
      <w:r w:rsidRPr="00030932">
        <w:rPr>
          <w:sz w:val="16"/>
          <w:szCs w:val="16"/>
        </w:rPr>
        <w:fldChar w:fldCharType="begin"/>
      </w:r>
      <w:r w:rsidR="00E33440" w:rsidRPr="00030932">
        <w:rPr>
          <w:sz w:val="16"/>
          <w:szCs w:val="16"/>
        </w:rPr>
        <w:instrText xml:space="preserve"> ADDIN ZOTERO_ITEM CSL_CITATION {"citationID":"x9IW23QK","properties":{"formattedCitation":"Indigo Daya, Bridget Hamilton and Cath Roper, \\uc0\\u8216{}Authentic Engagement: A Conceptual Model for Welcoming Diverse and Challenging Consumer and Survivor Views in Mental Health Research, Policy, and Practice\\uc0\\u8217{} (2020) 29(2) {\\i{}International journal of mental health nursing} 299.","plainCitation":"Indigo Daya, Bridget Hamilton and Cath Roper, ‘Authentic Engagement: A Conceptual Model for Welcoming Diverse and Challenging Consumer and Survivor Views in Mental Health Research, Policy, and Practice’ (2020) 29(2) International journal of mental health nursing 299.","noteIndex":270},"citationItems":[{"id":123,"uris":["http://zotero.org/users/local/OLPofQUL/items/IS5M5FYZ"],"itemData":{"id":123,"type":"article-journal","container-title":"International journal of mental health nursing","issue":"2","note":"ISBN: 1445-8330\npublisher: Wiley Online Library","page":"299-311","title":"Authentic engagement: A conceptual model for welcoming diverse and challenging consumer and survivor views in mental health research, policy, and practice","volume":"29","author":[{"family":"Daya","given":"Indigo"},{"family":"Hamilton","given":"Bridget"},{"family":"Roper","given":"Cath"}],"issued":{"date-parts":[["2020"]]}}}],"schema":"https://github.com/citation-style-language/schema/raw/master/csl-citation.json"} </w:instrText>
      </w:r>
      <w:r w:rsidRPr="00030932">
        <w:rPr>
          <w:sz w:val="16"/>
          <w:szCs w:val="16"/>
        </w:rPr>
        <w:fldChar w:fldCharType="separate"/>
      </w:r>
      <w:r w:rsidRPr="00030932">
        <w:rPr>
          <w:rFonts w:ascii="Calibri" w:hAnsi="Calibri" w:cs="Calibri"/>
          <w:sz w:val="16"/>
          <w:szCs w:val="16"/>
        </w:rPr>
        <w:t xml:space="preserve">Indigo Daya, Bridget Hamilton and Cath Roper, ‘Authentic Engagement: A Conceptual Model for Welcoming Diverse and Challenging Consumer and Survivor Views in Mental Health Research, Policy, and Practice’ (2020) 29(2) </w:t>
      </w:r>
      <w:r w:rsidRPr="00030932">
        <w:rPr>
          <w:rFonts w:ascii="Calibri" w:hAnsi="Calibri" w:cs="Calibri"/>
          <w:i/>
          <w:iCs/>
          <w:sz w:val="16"/>
          <w:szCs w:val="16"/>
        </w:rPr>
        <w:t>International journal of mental health nursing</w:t>
      </w:r>
      <w:r w:rsidRPr="00030932">
        <w:rPr>
          <w:rFonts w:ascii="Calibri" w:hAnsi="Calibri" w:cs="Calibri"/>
          <w:sz w:val="16"/>
          <w:szCs w:val="16"/>
        </w:rPr>
        <w:t xml:space="preserve"> 299.</w:t>
      </w:r>
      <w:r w:rsidRPr="00030932">
        <w:rPr>
          <w:sz w:val="16"/>
          <w:szCs w:val="16"/>
        </w:rPr>
        <w:fldChar w:fldCharType="end"/>
      </w:r>
    </w:p>
  </w:footnote>
  <w:footnote w:id="149">
    <w:p w14:paraId="61CFBFEB" w14:textId="2358DD2B" w:rsidR="002E05E0" w:rsidRPr="00030932" w:rsidRDefault="002E05E0">
      <w:pPr>
        <w:pStyle w:val="FootnoteText"/>
        <w:rPr>
          <w:rFonts w:cstheme="minorHAnsi"/>
          <w:sz w:val="16"/>
          <w:szCs w:val="16"/>
        </w:rPr>
      </w:pPr>
      <w:r w:rsidRPr="00030932">
        <w:rPr>
          <w:rStyle w:val="FootnoteReference"/>
          <w:sz w:val="16"/>
          <w:szCs w:val="16"/>
        </w:rPr>
        <w:footnoteRef/>
      </w:r>
      <w:r w:rsidR="007B6CE9" w:rsidRPr="00030932">
        <w:rPr>
          <w:rStyle w:val="Emphasis"/>
          <w:rFonts w:cstheme="minorHAnsi"/>
          <w:i w:val="0"/>
          <w:iCs w:val="0"/>
          <w:sz w:val="16"/>
          <w:szCs w:val="16"/>
        </w:rPr>
        <w:t xml:space="preserve"> </w:t>
      </w:r>
      <w:r w:rsidR="007B6CE9" w:rsidRPr="00030932">
        <w:rPr>
          <w:rStyle w:val="Emphasis"/>
          <w:rFonts w:cstheme="minorHAnsi"/>
          <w:i w:val="0"/>
          <w:iCs w:val="0"/>
          <w:sz w:val="16"/>
          <w:szCs w:val="16"/>
        </w:rPr>
        <w:fldChar w:fldCharType="begin"/>
      </w:r>
      <w:r w:rsidR="005A3579">
        <w:rPr>
          <w:rStyle w:val="Emphasis"/>
          <w:rFonts w:cstheme="minorHAnsi"/>
          <w:i w:val="0"/>
          <w:iCs w:val="0"/>
          <w:sz w:val="16"/>
          <w:szCs w:val="16"/>
        </w:rPr>
        <w:instrText xml:space="preserve"> ADDIN ZOTERO_ITEM CSL_CITATION {"citationID":"fDymgjLe","properties":{"formattedCitation":"Human Rights Committee, {\\i{}General Comment No 25 (Right to Participate in Public Affairs)} (n 228).","plainCitation":"Human Rights Committee, General Comment No 25 (Right to Participate in Public Affairs) (n 228).","dontUpdate":true,"noteIndex":273},"citationItems":[{"id":2045,"uris":["http://zotero.org/users/local/OLPofQUL/items/LINWXR5K"],"itemData":{"id":2045,"type":"book","publisher":"57th session, UN Dox CCPR/C/21/Rev.1/Add.7, (12 July 1996)","title":"General Comment No 25 (Right to participate in public affairs)","author":[{"family":"Human Rights Committee","given":""}]}}],"schema":"https://github.com/citation-style-language/schema/raw/master/csl-citation.json"} </w:instrText>
      </w:r>
      <w:r w:rsidR="007B6CE9" w:rsidRPr="00030932">
        <w:rPr>
          <w:rStyle w:val="Emphasis"/>
          <w:rFonts w:cstheme="minorHAnsi"/>
          <w:i w:val="0"/>
          <w:iCs w:val="0"/>
          <w:sz w:val="16"/>
          <w:szCs w:val="16"/>
        </w:rPr>
        <w:fldChar w:fldCharType="separate"/>
      </w:r>
      <w:r w:rsidR="007B6CE9" w:rsidRPr="00030932">
        <w:rPr>
          <w:rFonts w:cstheme="minorHAnsi"/>
          <w:sz w:val="16"/>
          <w:szCs w:val="16"/>
        </w:rPr>
        <w:t xml:space="preserve">Human Rights Committee, </w:t>
      </w:r>
      <w:r w:rsidR="007B6CE9" w:rsidRPr="00030932">
        <w:rPr>
          <w:rFonts w:cstheme="minorHAnsi"/>
          <w:i/>
          <w:sz w:val="16"/>
          <w:szCs w:val="16"/>
        </w:rPr>
        <w:t>General Comment No 25 (Right to Participate in Public Affairs)</w:t>
      </w:r>
      <w:r w:rsidR="007B6CE9" w:rsidRPr="00030932">
        <w:rPr>
          <w:rFonts w:cstheme="minorHAnsi"/>
          <w:sz w:val="16"/>
          <w:szCs w:val="16"/>
        </w:rPr>
        <w:t xml:space="preserve"> (n 228)</w:t>
      </w:r>
      <w:r w:rsidR="00E11DF9" w:rsidRPr="00030932">
        <w:rPr>
          <w:rFonts w:cstheme="minorHAnsi"/>
          <w:sz w:val="16"/>
          <w:szCs w:val="16"/>
        </w:rPr>
        <w:t xml:space="preserve"> at [19]</w:t>
      </w:r>
      <w:r w:rsidR="007B6CE9" w:rsidRPr="00030932">
        <w:rPr>
          <w:rFonts w:cstheme="minorHAnsi"/>
          <w:sz w:val="16"/>
          <w:szCs w:val="16"/>
        </w:rPr>
        <w:t>.</w:t>
      </w:r>
      <w:r w:rsidR="007B6CE9" w:rsidRPr="00030932">
        <w:rPr>
          <w:rStyle w:val="Emphasis"/>
          <w:rFonts w:cstheme="minorHAnsi"/>
          <w:i w:val="0"/>
          <w:iCs w:val="0"/>
          <w:sz w:val="16"/>
          <w:szCs w:val="16"/>
        </w:rPr>
        <w:fldChar w:fldCharType="end"/>
      </w:r>
      <w:r w:rsidR="00823ADD" w:rsidRPr="00030932">
        <w:rPr>
          <w:rStyle w:val="Emphasis"/>
          <w:rFonts w:cstheme="minorHAnsi"/>
          <w:i w:val="0"/>
          <w:iCs w:val="0"/>
          <w:sz w:val="16"/>
          <w:szCs w:val="16"/>
        </w:rPr>
        <w:t xml:space="preserve"> </w:t>
      </w:r>
      <w:r w:rsidR="00D70434" w:rsidRPr="00030932">
        <w:rPr>
          <w:rStyle w:val="Emphasis"/>
          <w:rFonts w:cstheme="minorHAnsi"/>
          <w:i w:val="0"/>
          <w:iCs w:val="0"/>
          <w:sz w:val="16"/>
          <w:szCs w:val="16"/>
        </w:rPr>
        <w:t xml:space="preserve">French CJ as well as Kiefel, Bell and Keane JJ shared similar views in </w:t>
      </w:r>
      <w:r w:rsidR="00D70434" w:rsidRPr="00030932">
        <w:rPr>
          <w:rStyle w:val="Emphasis"/>
          <w:rFonts w:cstheme="minorHAnsi"/>
          <w:sz w:val="16"/>
          <w:szCs w:val="16"/>
        </w:rPr>
        <w:t xml:space="preserve">McCloy v New South Wales </w:t>
      </w:r>
      <w:r w:rsidR="00D70434" w:rsidRPr="00030932">
        <w:rPr>
          <w:rStyle w:val="Emphasis"/>
          <w:rFonts w:cstheme="minorHAnsi"/>
          <w:i w:val="0"/>
          <w:iCs w:val="0"/>
          <w:sz w:val="16"/>
          <w:szCs w:val="16"/>
        </w:rPr>
        <w:t>(2015) 257 CLR 178.</w:t>
      </w:r>
    </w:p>
  </w:footnote>
  <w:footnote w:id="150">
    <w:p w14:paraId="7E60D9F1" w14:textId="35E310FE" w:rsidR="00227577" w:rsidRPr="00030932" w:rsidRDefault="00227577">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00D35A4A" w:rsidRPr="00030932">
        <w:rPr>
          <w:rFonts w:cstheme="minorHAnsi"/>
          <w:sz w:val="16"/>
          <w:szCs w:val="16"/>
        </w:rPr>
        <w:fldChar w:fldCharType="begin"/>
      </w:r>
      <w:r w:rsidR="00E33440" w:rsidRPr="00030932">
        <w:rPr>
          <w:rFonts w:cstheme="minorHAnsi"/>
          <w:sz w:val="16"/>
          <w:szCs w:val="16"/>
        </w:rPr>
        <w:instrText xml:space="preserve"> ADDIN ZOTERO_ITEM CSL_CITATION {"citationID":"ssFp6JOM","properties":{"formattedCitation":"Office of the High Commissioner, {\\i{}Guidelines for State on the Effective Implementation of the Right to Participate in Public Affairs} (United Nations, 2018) 6\\uc0\\u8211{}7.","plainCitation":"Office of the High Commissioner, Guidelines for State on the Effective Implementation of the Right to Participate in Public Affairs (United Nations, 2018) 6–7.","noteIndex":272},"citationItems":[{"id":2003,"uris":["http://zotero.org/users/local/OLPofQUL/items/42TBURHK"],"itemData":{"id":2003,"type":"report","publisher":"United Nations","title":"Guidelines for State on the effective implementation of the right to participate in public affairs","author":[{"family":"Office of the High Commissioner","given":""}],"issued":{"date-parts":[["2018"]]}},"locator":"6-7","label":"page"}],"schema":"https://github.com/citation-style-language/schema/raw/master/csl-citation.json"} </w:instrText>
      </w:r>
      <w:r w:rsidR="00D35A4A" w:rsidRPr="00030932">
        <w:rPr>
          <w:rFonts w:cstheme="minorHAnsi"/>
          <w:sz w:val="16"/>
          <w:szCs w:val="16"/>
        </w:rPr>
        <w:fldChar w:fldCharType="separate"/>
      </w:r>
      <w:r w:rsidR="00D35A4A" w:rsidRPr="00030932">
        <w:rPr>
          <w:rFonts w:cstheme="minorHAnsi"/>
          <w:sz w:val="16"/>
          <w:szCs w:val="16"/>
        </w:rPr>
        <w:t xml:space="preserve">Office of the High Commissioner, </w:t>
      </w:r>
      <w:r w:rsidR="00D35A4A" w:rsidRPr="00030932">
        <w:rPr>
          <w:rFonts w:cstheme="minorHAnsi"/>
          <w:i/>
          <w:iCs/>
          <w:sz w:val="16"/>
          <w:szCs w:val="16"/>
        </w:rPr>
        <w:t>Guidelines for State on the Effective Implementation of the Right to Participate in Public Affairs</w:t>
      </w:r>
      <w:r w:rsidR="00D35A4A" w:rsidRPr="00030932">
        <w:rPr>
          <w:rFonts w:cstheme="minorHAnsi"/>
          <w:sz w:val="16"/>
          <w:szCs w:val="16"/>
        </w:rPr>
        <w:t xml:space="preserve"> (United Nations, 2018) 6–7.</w:t>
      </w:r>
      <w:r w:rsidR="00D35A4A" w:rsidRPr="00030932">
        <w:rPr>
          <w:rFonts w:cstheme="minorHAnsi"/>
          <w:sz w:val="16"/>
          <w:szCs w:val="16"/>
        </w:rPr>
        <w:fldChar w:fldCharType="end"/>
      </w:r>
    </w:p>
  </w:footnote>
  <w:footnote w:id="151">
    <w:p w14:paraId="0ADD587E" w14:textId="39271D80" w:rsidR="00491D23" w:rsidRPr="00030932" w:rsidRDefault="00491D23">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00F118AA" w:rsidRPr="00030932">
        <w:rPr>
          <w:rFonts w:cstheme="minorHAnsi"/>
          <w:sz w:val="16"/>
          <w:szCs w:val="16"/>
        </w:rPr>
        <w:t>CRPD</w:t>
      </w:r>
      <w:r w:rsidRPr="00030932">
        <w:rPr>
          <w:rFonts w:cstheme="minorHAnsi"/>
          <w:sz w:val="16"/>
          <w:szCs w:val="16"/>
        </w:rPr>
        <w:t xml:space="preserve"> art</w:t>
      </w:r>
      <w:r w:rsidR="00F118AA" w:rsidRPr="00030932">
        <w:rPr>
          <w:rFonts w:cstheme="minorHAnsi"/>
          <w:sz w:val="16"/>
          <w:szCs w:val="16"/>
        </w:rPr>
        <w:t>s</w:t>
      </w:r>
      <w:r w:rsidRPr="00030932">
        <w:rPr>
          <w:rFonts w:cstheme="minorHAnsi"/>
          <w:sz w:val="16"/>
          <w:szCs w:val="16"/>
        </w:rPr>
        <w:t xml:space="preserve"> 4(3) and 33(1).</w:t>
      </w:r>
    </w:p>
  </w:footnote>
  <w:footnote w:id="152">
    <w:p w14:paraId="5DBC2FC3" w14:textId="64A52414" w:rsidR="00B122DD" w:rsidRPr="00030932" w:rsidRDefault="00B122DD">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007F08AB" w:rsidRPr="00030932">
        <w:rPr>
          <w:rFonts w:cstheme="minorHAnsi"/>
          <w:sz w:val="16"/>
          <w:szCs w:val="16"/>
        </w:rPr>
        <w:fldChar w:fldCharType="begin"/>
      </w:r>
      <w:r w:rsidR="00E33440" w:rsidRPr="00030932">
        <w:rPr>
          <w:rFonts w:cstheme="minorHAnsi"/>
          <w:sz w:val="16"/>
          <w:szCs w:val="16"/>
        </w:rPr>
        <w:instrText xml:space="preserve"> ADDIN ZOTERO_ITEM CSL_CITATION {"citationID":"K71vUGxI","properties":{"formattedCitation":"Committee on the Rights of Persons with Disabilities, {\\i{}General Comment No. 7 on the Participation of Persons with Disabilities, Including Children with Disabilities, through Their Respective Organizations, in the Implementation of the Convention} (UN Doc CRPD/C/GC/7 (9 November 2018)) at [3].","plainCitation":"Committee on the Rights of Persons with Disabilities, General Comment No. 7 on the Participation of Persons with Disabilities, Including Children with Disabilities, through Their Respective Organizations, in the Implementation of the Convention (UN Doc CRPD/C/GC/7 (9 November 2018)) at [3].","dontUpdate":true,"noteIndex":274},"citationItems":[{"id":2046,"uris":["http://zotero.org/users/local/OLPofQUL/items/FYMTV2XX"],"itemData":{"id":2046,"type":"book","publisher":"UN Doc CRPD/C/GC/7 (9 November 2018)","title":"General Comment No. 7 on the participation of persons with disabilities, including children with disabilities, through their respective organizations, in the implementation of the Convention","author":[{"family":"Committee on the Rights of Persons with Disabilities","given":""}]},"locator":"at [3]","label":"page"}],"schema":"https://github.com/citation-style-language/schema/raw/master/csl-citation.json"} </w:instrText>
      </w:r>
      <w:r w:rsidR="007F08AB" w:rsidRPr="00030932">
        <w:rPr>
          <w:rFonts w:cstheme="minorHAnsi"/>
          <w:sz w:val="16"/>
          <w:szCs w:val="16"/>
        </w:rPr>
        <w:fldChar w:fldCharType="separate"/>
      </w:r>
      <w:r w:rsidR="00B0669D" w:rsidRPr="00030932">
        <w:rPr>
          <w:rFonts w:cstheme="minorHAnsi"/>
          <w:sz w:val="16"/>
          <w:szCs w:val="16"/>
        </w:rPr>
        <w:t xml:space="preserve">Committee on the Rights of Persons with Disabilities, </w:t>
      </w:r>
      <w:r w:rsidR="00B0669D" w:rsidRPr="00030932">
        <w:rPr>
          <w:rFonts w:cstheme="minorHAnsi"/>
          <w:i/>
          <w:sz w:val="16"/>
          <w:szCs w:val="16"/>
        </w:rPr>
        <w:t>General Comment No. 7 on the Participation of Persons with Disabilities, Including Children with Disabilities, through Their Respective Organizations, in the Implementation of the Convention</w:t>
      </w:r>
      <w:r w:rsidR="00B0669D" w:rsidRPr="00030932">
        <w:rPr>
          <w:rFonts w:cstheme="minorHAnsi"/>
          <w:sz w:val="16"/>
          <w:szCs w:val="16"/>
        </w:rPr>
        <w:t>, UN Doc CRPD/C/GC/7 (9 November 2018) at [3].</w:t>
      </w:r>
      <w:r w:rsidR="007F08AB" w:rsidRPr="00030932">
        <w:rPr>
          <w:rFonts w:cstheme="minorHAnsi"/>
          <w:sz w:val="16"/>
          <w:szCs w:val="16"/>
        </w:rPr>
        <w:fldChar w:fldCharType="end"/>
      </w:r>
      <w:r w:rsidR="00A65B36" w:rsidRPr="00030932">
        <w:rPr>
          <w:rFonts w:cstheme="minorHAnsi"/>
          <w:sz w:val="16"/>
          <w:szCs w:val="16"/>
        </w:rPr>
        <w:t xml:space="preserve"> </w:t>
      </w:r>
    </w:p>
  </w:footnote>
  <w:footnote w:id="153">
    <w:p w14:paraId="518BE6A2" w14:textId="4716C986" w:rsidR="00265437" w:rsidRPr="00030932" w:rsidRDefault="00265437">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00B749B1" w:rsidRPr="00030932">
        <w:rPr>
          <w:rFonts w:cstheme="minorHAnsi"/>
          <w:sz w:val="16"/>
          <w:szCs w:val="16"/>
        </w:rPr>
        <w:fldChar w:fldCharType="begin"/>
      </w:r>
      <w:r w:rsidR="00E33440" w:rsidRPr="00030932">
        <w:rPr>
          <w:rFonts w:cstheme="minorHAnsi"/>
          <w:sz w:val="16"/>
          <w:szCs w:val="16"/>
        </w:rPr>
        <w:instrText xml:space="preserve"> ADDIN ZOTERO_ITEM CSL_CITATION {"citationID":"xNM2nCQ9","properties":{"formattedCitation":"Cath Roper, Flick Grey and Emma Cadogan, \\uc0\\u8216{}Co-Production: Putting Principles into Practice in Mental Health Contexts\\uc0\\u8217{} [2018] {\\i{}Melbourne: University of Melbourne} 27.","plainCitation":"Cath Roper, Flick Grey and Emma Cadogan, ‘Co-Production: Putting Principles into Practice in Mental Health Contexts’ [2018] Melbourne: University of Melbourne 27.","noteIndex":275},"citationItems":[{"id":178,"uris":["http://zotero.org/users/local/OLPofQUL/items/VBDYPLP7"],"itemData":{"id":178,"type":"article-journal","container-title":"Melbourne: University of Melbourne","title":"Co-production: Putting principles into practice in mental health contexts","author":[{"family":"Roper","given":"Cath"},{"family":"Grey","given":"Flick"},{"family":"Cadogan","given":"Emma"}],"issued":{"date-parts":[["2018"]]}},"locator":"27","label":"page"}],"schema":"https://github.com/citation-style-language/schema/raw/master/csl-citation.json"} </w:instrText>
      </w:r>
      <w:r w:rsidR="00B749B1" w:rsidRPr="00030932">
        <w:rPr>
          <w:rFonts w:cstheme="minorHAnsi"/>
          <w:sz w:val="16"/>
          <w:szCs w:val="16"/>
        </w:rPr>
        <w:fldChar w:fldCharType="separate"/>
      </w:r>
      <w:r w:rsidR="004A608A" w:rsidRPr="00030932">
        <w:rPr>
          <w:rFonts w:cstheme="minorHAnsi"/>
          <w:sz w:val="16"/>
          <w:szCs w:val="16"/>
        </w:rPr>
        <w:t xml:space="preserve">Cath Roper, Flick Grey and Emma Cadogan, ‘Co-Production: Putting Principles into Practice in Mental Health Contexts’ [2018] </w:t>
      </w:r>
      <w:r w:rsidR="004A608A" w:rsidRPr="00030932">
        <w:rPr>
          <w:rFonts w:cstheme="minorHAnsi"/>
          <w:i/>
          <w:iCs/>
          <w:sz w:val="16"/>
          <w:szCs w:val="16"/>
        </w:rPr>
        <w:t>Melbourne: University of Melbourne</w:t>
      </w:r>
      <w:r w:rsidR="004A608A" w:rsidRPr="00030932">
        <w:rPr>
          <w:rFonts w:cstheme="minorHAnsi"/>
          <w:sz w:val="16"/>
          <w:szCs w:val="16"/>
        </w:rPr>
        <w:t xml:space="preserve"> 27.</w:t>
      </w:r>
      <w:r w:rsidR="00B749B1" w:rsidRPr="00030932">
        <w:rPr>
          <w:rFonts w:cstheme="minorHAnsi"/>
          <w:sz w:val="16"/>
          <w:szCs w:val="16"/>
        </w:rPr>
        <w:fldChar w:fldCharType="end"/>
      </w:r>
    </w:p>
  </w:footnote>
  <w:footnote w:id="154">
    <w:p w14:paraId="4BFA7B25" w14:textId="55A4FF59" w:rsidR="00C671EE" w:rsidRPr="00030932" w:rsidRDefault="00C671EE">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The meaning of ‘eligible’ is unclear as it is undefined in the Charter, but </w:t>
      </w:r>
      <w:r w:rsidR="00FC5293" w:rsidRPr="00030932">
        <w:rPr>
          <w:rFonts w:cstheme="minorHAnsi"/>
          <w:sz w:val="16"/>
          <w:szCs w:val="16"/>
        </w:rPr>
        <w:t xml:space="preserve">there are various requirements under the </w:t>
      </w:r>
      <w:r w:rsidR="00FC5293" w:rsidRPr="00030932">
        <w:rPr>
          <w:rFonts w:cstheme="minorHAnsi"/>
          <w:i/>
          <w:sz w:val="16"/>
          <w:szCs w:val="16"/>
        </w:rPr>
        <w:t xml:space="preserve">Constitution Act 1975 </w:t>
      </w:r>
      <w:r w:rsidR="00FC5293" w:rsidRPr="00030932">
        <w:rPr>
          <w:rFonts w:cstheme="minorHAnsi"/>
          <w:sz w:val="16"/>
          <w:szCs w:val="16"/>
        </w:rPr>
        <w:t xml:space="preserve">(Vic) and </w:t>
      </w:r>
      <w:r w:rsidR="00FC5293" w:rsidRPr="00030932">
        <w:rPr>
          <w:rFonts w:cstheme="minorHAnsi"/>
          <w:i/>
          <w:sz w:val="16"/>
          <w:szCs w:val="16"/>
        </w:rPr>
        <w:t>Electoral Act 2002</w:t>
      </w:r>
      <w:r w:rsidR="00FC5293" w:rsidRPr="00030932">
        <w:rPr>
          <w:rFonts w:cstheme="minorHAnsi"/>
          <w:sz w:val="16"/>
          <w:szCs w:val="16"/>
        </w:rPr>
        <w:t xml:space="preserve"> (Vic)</w:t>
      </w:r>
      <w:r w:rsidR="00AF7B08" w:rsidRPr="00030932">
        <w:rPr>
          <w:rFonts w:cstheme="minorHAnsi"/>
          <w:sz w:val="16"/>
          <w:szCs w:val="16"/>
        </w:rPr>
        <w:t xml:space="preserve">. It is beyond the scope of this guide to explore this. </w:t>
      </w:r>
      <w:r w:rsidR="00AF7B08" w:rsidRPr="00030932">
        <w:rPr>
          <w:rFonts w:cstheme="minorHAnsi"/>
          <w:sz w:val="16"/>
          <w:szCs w:val="16"/>
        </w:rPr>
        <w:fldChar w:fldCharType="begin"/>
      </w:r>
      <w:r w:rsidR="005A3579">
        <w:rPr>
          <w:rFonts w:cstheme="minorHAnsi"/>
          <w:sz w:val="16"/>
          <w:szCs w:val="16"/>
        </w:rPr>
        <w:instrText xml:space="preserve"> ADDIN ZOTERO_ITEM CSL_CITATION {"citationID":"NfnncBet","properties":{"formattedCitation":"Pound and Evans (n 161) 173\\uc0\\u8211{}174.","plainCitation":"Pound and Evans (n 161) 173–174.","noteIndex":278},"citationItems":[{"id":1624,"uris":["http://zotero.org/users/local/OLPofQUL/items/JM6CNWPP"],"itemData":{"id":1624,"type":"book","ISBN":"0-455-50030-4","publisher":"Thomson Reuters (Professional) Australia Limited","title":"Annotated Victorian charter of rights","author":[{"family":"Pound","given":"Alistair"},{"family":"Evans","given":"Kylie"}],"issued":{"date-parts":[["2019"]]}},"locator":"173-174","label":"page"}],"schema":"https://github.com/citation-style-language/schema/raw/master/csl-citation.json"} </w:instrText>
      </w:r>
      <w:r w:rsidR="00AF7B08" w:rsidRPr="00030932">
        <w:rPr>
          <w:rFonts w:cstheme="minorHAnsi"/>
          <w:sz w:val="16"/>
          <w:szCs w:val="16"/>
        </w:rPr>
        <w:fldChar w:fldCharType="separate"/>
      </w:r>
      <w:r w:rsidR="005A3579" w:rsidRPr="005A3579">
        <w:rPr>
          <w:rFonts w:ascii="Calibri" w:hAnsi="Calibri" w:cs="Calibri"/>
          <w:sz w:val="16"/>
          <w:szCs w:val="24"/>
        </w:rPr>
        <w:t>Pound and Evans (n 161) 173–174.</w:t>
      </w:r>
      <w:r w:rsidR="00AF7B08" w:rsidRPr="00030932">
        <w:rPr>
          <w:rFonts w:cstheme="minorHAnsi"/>
          <w:sz w:val="16"/>
          <w:szCs w:val="16"/>
        </w:rPr>
        <w:fldChar w:fldCharType="end"/>
      </w:r>
    </w:p>
  </w:footnote>
  <w:footnote w:id="155">
    <w:p w14:paraId="210597C1" w14:textId="5242589A" w:rsidR="001001AB" w:rsidRPr="00030932" w:rsidRDefault="001001AB">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001049AE" w:rsidRPr="00030932">
        <w:rPr>
          <w:rFonts w:cstheme="minorHAnsi"/>
          <w:sz w:val="16"/>
          <w:szCs w:val="16"/>
        </w:rPr>
        <w:fldChar w:fldCharType="begin"/>
      </w:r>
      <w:r w:rsidR="005A3579">
        <w:rPr>
          <w:rFonts w:cstheme="minorHAnsi"/>
          <w:sz w:val="16"/>
          <w:szCs w:val="16"/>
        </w:rPr>
        <w:instrText xml:space="preserve"> ADDIN ZOTERO_ITEM CSL_CITATION {"citationID":"8eYEyxOc","properties":{"formattedCitation":"Ibid 174\\uc0\\u8211{}175.","plainCitation":"Ibid 174–175.","noteIndex":279},"citationItems":[{"id":1624,"uris":["http://zotero.org/users/local/OLPofQUL/items/JM6CNWPP"],"itemData":{"id":1624,"type":"book","ISBN":"0-455-50030-4","publisher":"Thomson Reuters (Professional) Australia Limited","title":"Annotated Victorian charter of rights","author":[{"family":"Pound","given":"Alistair"},{"family":"Evans","given":"Kylie"}],"issued":{"date-parts":[["2019"]]}},"locator":"174-175","label":"page"}],"schema":"https://github.com/citation-style-language/schema/raw/master/csl-citation.json"} </w:instrText>
      </w:r>
      <w:r w:rsidR="001049AE" w:rsidRPr="00030932">
        <w:rPr>
          <w:rFonts w:cstheme="minorHAnsi"/>
          <w:sz w:val="16"/>
          <w:szCs w:val="16"/>
        </w:rPr>
        <w:fldChar w:fldCharType="separate"/>
      </w:r>
      <w:r w:rsidR="001049AE" w:rsidRPr="00030932">
        <w:rPr>
          <w:rFonts w:cstheme="minorHAnsi"/>
          <w:sz w:val="16"/>
          <w:szCs w:val="16"/>
        </w:rPr>
        <w:t>Ibid 174–175.</w:t>
      </w:r>
      <w:r w:rsidR="001049AE" w:rsidRPr="00030932">
        <w:rPr>
          <w:rFonts w:cstheme="minorHAnsi"/>
          <w:sz w:val="16"/>
          <w:szCs w:val="16"/>
        </w:rPr>
        <w:fldChar w:fldCharType="end"/>
      </w:r>
    </w:p>
  </w:footnote>
  <w:footnote w:id="156">
    <w:p w14:paraId="083EC2E5" w14:textId="2E952348" w:rsidR="00EB615E" w:rsidRPr="00030932" w:rsidRDefault="00EB615E">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See </w:t>
      </w:r>
      <w:r w:rsidRPr="00030932">
        <w:rPr>
          <w:rFonts w:cstheme="minorHAnsi"/>
          <w:i/>
          <w:sz w:val="16"/>
          <w:szCs w:val="16"/>
        </w:rPr>
        <w:t>Roach v Ele</w:t>
      </w:r>
      <w:r w:rsidR="00F77A50" w:rsidRPr="00030932">
        <w:rPr>
          <w:rFonts w:cstheme="minorHAnsi"/>
          <w:i/>
          <w:sz w:val="16"/>
          <w:szCs w:val="16"/>
        </w:rPr>
        <w:t>c</w:t>
      </w:r>
      <w:r w:rsidRPr="00030932">
        <w:rPr>
          <w:rFonts w:cstheme="minorHAnsi"/>
          <w:i/>
          <w:sz w:val="16"/>
          <w:szCs w:val="16"/>
        </w:rPr>
        <w:t xml:space="preserve">toral Commissioner </w:t>
      </w:r>
      <w:r w:rsidRPr="00030932">
        <w:rPr>
          <w:rFonts w:cstheme="minorHAnsi"/>
          <w:sz w:val="16"/>
          <w:szCs w:val="16"/>
        </w:rPr>
        <w:t>(2007) 233 CLR 162; [2007] HCA 43.</w:t>
      </w:r>
    </w:p>
  </w:footnote>
  <w:footnote w:id="157">
    <w:p w14:paraId="6A4CD44F" w14:textId="4AFE9132" w:rsidR="00CC3ECC" w:rsidRPr="00030932" w:rsidRDefault="00CC3ECC">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00962B13" w:rsidRPr="00030932">
        <w:rPr>
          <w:rFonts w:cstheme="minorHAnsi"/>
          <w:sz w:val="16"/>
          <w:szCs w:val="16"/>
        </w:rPr>
        <w:fldChar w:fldCharType="begin"/>
      </w:r>
      <w:r w:rsidR="005A3579">
        <w:rPr>
          <w:rFonts w:cstheme="minorHAnsi"/>
          <w:sz w:val="16"/>
          <w:szCs w:val="16"/>
        </w:rPr>
        <w:instrText xml:space="preserve"> ADDIN ZOTERO_ITEM CSL_CITATION {"citationID":"elKCMpSo","properties":{"formattedCitation":"Human Rights Committee, {\\i{}General Comment No 25 (Right to Participate in Public Affairs)} (n 268) at [12].","plainCitation":"Human Rights Committee, General Comment No 25 (Right to Participate in Public Affairs) (n 268) at [12].","noteIndex":281},"citationItems":[{"id":2045,"uris":["http://zotero.org/users/local/OLPofQUL/items/LINWXR5K"],"itemData":{"id":2045,"type":"book","publisher":"57th session, UN Dox CCPR/C/21/Rev.1/Add.7, (12 July 1996)","title":"General Comment No 25 (Right to participate in public affairs)","author":[{"family":"Human Rights Committee","given":""}]},"locator":"at [12]","label":"page"}],"schema":"https://github.com/citation-style-language/schema/raw/master/csl-citation.json"} </w:instrText>
      </w:r>
      <w:r w:rsidR="00962B13" w:rsidRPr="00030932">
        <w:rPr>
          <w:rFonts w:cstheme="minorHAnsi"/>
          <w:sz w:val="16"/>
          <w:szCs w:val="16"/>
        </w:rPr>
        <w:fldChar w:fldCharType="separate"/>
      </w:r>
      <w:r w:rsidR="005A3579" w:rsidRPr="005A3579">
        <w:rPr>
          <w:rFonts w:ascii="Calibri" w:hAnsi="Calibri" w:cs="Calibri"/>
          <w:sz w:val="16"/>
          <w:szCs w:val="24"/>
        </w:rPr>
        <w:t xml:space="preserve">Human Rights Committee, </w:t>
      </w:r>
      <w:r w:rsidR="005A3579" w:rsidRPr="005A3579">
        <w:rPr>
          <w:rFonts w:ascii="Calibri" w:hAnsi="Calibri" w:cs="Calibri"/>
          <w:i/>
          <w:iCs/>
          <w:sz w:val="16"/>
          <w:szCs w:val="24"/>
        </w:rPr>
        <w:t>General Comment No 25 (Right to Participate in Public Affairs)</w:t>
      </w:r>
      <w:r w:rsidR="005A3579" w:rsidRPr="005A3579">
        <w:rPr>
          <w:rFonts w:ascii="Calibri" w:hAnsi="Calibri" w:cs="Calibri"/>
          <w:sz w:val="16"/>
          <w:szCs w:val="24"/>
        </w:rPr>
        <w:t xml:space="preserve"> (n 268) at [12].</w:t>
      </w:r>
      <w:r w:rsidR="00962B13" w:rsidRPr="00030932">
        <w:rPr>
          <w:rFonts w:cstheme="minorHAnsi"/>
          <w:sz w:val="16"/>
          <w:szCs w:val="16"/>
        </w:rPr>
        <w:fldChar w:fldCharType="end"/>
      </w:r>
    </w:p>
  </w:footnote>
  <w:footnote w:id="158">
    <w:p w14:paraId="4F6F4F5D" w14:textId="3CF3B4C9" w:rsidR="00C85F3D" w:rsidRPr="00030932" w:rsidRDefault="00C85F3D">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sz w:val="16"/>
          <w:szCs w:val="16"/>
        </w:rPr>
        <w:t>Electoral Act 2002</w:t>
      </w:r>
      <w:r w:rsidRPr="00030932">
        <w:rPr>
          <w:rFonts w:cstheme="minorHAnsi"/>
          <w:sz w:val="16"/>
          <w:szCs w:val="16"/>
        </w:rPr>
        <w:t xml:space="preserve"> (Vic) s 94.</w:t>
      </w:r>
    </w:p>
  </w:footnote>
  <w:footnote w:id="159">
    <w:p w14:paraId="4D8F2530" w14:textId="326C9928" w:rsidR="00CE0882" w:rsidRPr="00030932" w:rsidRDefault="00CE0882">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Decisions regarding leave of absence are made under s </w:t>
      </w:r>
      <w:r w:rsidR="002D3EC9" w:rsidRPr="00030932">
        <w:rPr>
          <w:rFonts w:cstheme="minorHAnsi"/>
          <w:sz w:val="16"/>
          <w:szCs w:val="16"/>
        </w:rPr>
        <w:t>64</w:t>
      </w:r>
      <w:r w:rsidRPr="00030932">
        <w:rPr>
          <w:rFonts w:cstheme="minorHAnsi"/>
          <w:sz w:val="16"/>
          <w:szCs w:val="16"/>
        </w:rPr>
        <w:t xml:space="preserve"> of the </w:t>
      </w:r>
      <w:r w:rsidRPr="00030932">
        <w:rPr>
          <w:rFonts w:cstheme="minorHAnsi"/>
          <w:i/>
          <w:sz w:val="16"/>
          <w:szCs w:val="16"/>
        </w:rPr>
        <w:t xml:space="preserve">Mental Health Act 2014 </w:t>
      </w:r>
      <w:r w:rsidRPr="00030932">
        <w:rPr>
          <w:rFonts w:cstheme="minorHAnsi"/>
          <w:sz w:val="16"/>
          <w:szCs w:val="16"/>
        </w:rPr>
        <w:t>(Vic), and will be made under s</w:t>
      </w:r>
      <w:r w:rsidR="00921E28" w:rsidRPr="00030932">
        <w:rPr>
          <w:rFonts w:cstheme="minorHAnsi"/>
          <w:sz w:val="16"/>
          <w:szCs w:val="16"/>
        </w:rPr>
        <w:t>s 212</w:t>
      </w:r>
      <w:r w:rsidR="00DA52FD" w:rsidRPr="00030932">
        <w:rPr>
          <w:rFonts w:cstheme="minorHAnsi"/>
          <w:sz w:val="16"/>
          <w:szCs w:val="16"/>
        </w:rPr>
        <w:t>–2</w:t>
      </w:r>
      <w:r w:rsidR="00921E28" w:rsidRPr="00030932">
        <w:rPr>
          <w:rFonts w:cstheme="minorHAnsi"/>
          <w:sz w:val="16"/>
          <w:szCs w:val="16"/>
        </w:rPr>
        <w:t>21</w:t>
      </w:r>
      <w:r w:rsidRPr="00030932">
        <w:rPr>
          <w:rFonts w:cstheme="minorHAnsi"/>
          <w:sz w:val="16"/>
          <w:szCs w:val="16"/>
        </w:rPr>
        <w:t xml:space="preserve"> of the </w:t>
      </w:r>
      <w:r w:rsidRPr="00030932">
        <w:rPr>
          <w:rFonts w:cstheme="minorHAnsi"/>
          <w:i/>
          <w:sz w:val="16"/>
          <w:szCs w:val="16"/>
        </w:rPr>
        <w:t xml:space="preserve">Mental Health and Wellbeing Act 2022 </w:t>
      </w:r>
      <w:r w:rsidRPr="00030932">
        <w:rPr>
          <w:rFonts w:cstheme="minorHAnsi"/>
          <w:sz w:val="16"/>
          <w:szCs w:val="16"/>
        </w:rPr>
        <w:t>(Vic) from 1 July 2023.</w:t>
      </w:r>
    </w:p>
  </w:footnote>
  <w:footnote w:id="160">
    <w:p w14:paraId="27C5F723" w14:textId="7F7B891A" w:rsidR="00632FC1" w:rsidRPr="00030932" w:rsidRDefault="00632FC1">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E33440" w:rsidRPr="00030932">
        <w:rPr>
          <w:rFonts w:cstheme="minorHAnsi"/>
          <w:sz w:val="16"/>
          <w:szCs w:val="16"/>
        </w:rPr>
        <w:instrText xml:space="preserve"> ADDIN ZOTERO_ITEM CSL_CITATION {"citationID":"ltWTUdIa","properties":{"formattedCitation":"Existing non-enforceable guidance to mental health services does not address this issue: Office of the Chief Psychiatrist, {\\i{}Leave of Absence from a Mental Health Inpatient Unit: Chief Psychiatrist\\uc0\\u8217{}s Guideline} (2018) &lt;https://www2.health.vic.gov.au/Api/downloadmedia/%7B9A485568-6EA0-4EB1-A2F1-6F6E21DB287E%7D&gt;.","plainCitation":"Existing non-enforceable guidance to mental health services does not address this issue: Office of the Chief Psychiatrist, Leave of Absence from a Mental Health Inpatient Unit: Chief Psychiatrist’s Guideline (2018) &lt;https://www2.health.vic.gov.au/Api/downloadmedia/%7B9A485568-6EA0-4EB1-A2F1-6F6E21DB287E%7D&gt;.","noteIndex":282},"citationItems":[{"id":357,"uris":["http://zotero.org/users/local/OLPofQUL/items/GZZSKGCC"],"itemData":{"id":357,"type":"report","title":"Leave of absence from a mental health inpatient unit: Chief Psychiatrist's guideline","URL":"https://www2.health.vic.gov.au/Api/downloadmedia/%7B9A485568-6EA0-4EB1-A2F1-6F6E21DB287E%7D","author":[{"family":"Office of the Chief Psychiatrist","given":""}],"issued":{"date-parts":[["2018"]]}},"label":"page","prefix":"Existing non-enforceable guidance to mental health services does not address this issue:"}],"schema":"https://github.com/citation-style-language/schema/raw/master/csl-citation.json"} </w:instrText>
      </w:r>
      <w:r w:rsidRPr="00030932">
        <w:rPr>
          <w:rFonts w:cstheme="minorHAnsi"/>
          <w:sz w:val="16"/>
          <w:szCs w:val="16"/>
        </w:rPr>
        <w:fldChar w:fldCharType="separate"/>
      </w:r>
      <w:r w:rsidRPr="00030932">
        <w:rPr>
          <w:rFonts w:cstheme="minorHAnsi"/>
          <w:sz w:val="16"/>
          <w:szCs w:val="16"/>
        </w:rPr>
        <w:t xml:space="preserve">Existing non-enforceable guidance to mental health services does not address this issue: Office of the Chief Psychiatrist, </w:t>
      </w:r>
      <w:r w:rsidRPr="00030932">
        <w:rPr>
          <w:rFonts w:cstheme="minorHAnsi"/>
          <w:i/>
          <w:iCs/>
          <w:sz w:val="16"/>
          <w:szCs w:val="16"/>
        </w:rPr>
        <w:t>Leave of Absence from a Mental Health Inpatient Unit: Chief Psychiatrist’s Guideline</w:t>
      </w:r>
      <w:r w:rsidRPr="00030932">
        <w:rPr>
          <w:rFonts w:cstheme="minorHAnsi"/>
          <w:sz w:val="16"/>
          <w:szCs w:val="16"/>
        </w:rPr>
        <w:t xml:space="preserve"> (2018) &lt;https://www2.health.vic.gov.au/Api/downloadmedia/%7B9A485568-6EA0-4EB1-A2F1-6F6E21DB287E%7D&gt;.</w:t>
      </w:r>
      <w:r w:rsidRPr="00030932">
        <w:rPr>
          <w:rFonts w:cstheme="minorHAnsi"/>
          <w:sz w:val="16"/>
          <w:szCs w:val="16"/>
        </w:rPr>
        <w:fldChar w:fldCharType="end"/>
      </w:r>
    </w:p>
  </w:footnote>
  <w:footnote w:id="161">
    <w:p w14:paraId="064F204C" w14:textId="12E716CC" w:rsidR="007F65BD" w:rsidRPr="00030932" w:rsidRDefault="007F65BD">
      <w:pPr>
        <w:pStyle w:val="FootnoteText"/>
        <w:rPr>
          <w:rFonts w:cstheme="minorHAnsi"/>
          <w:sz w:val="16"/>
          <w:szCs w:val="16"/>
        </w:rPr>
      </w:pPr>
      <w:r w:rsidRPr="00030932">
        <w:rPr>
          <w:rStyle w:val="FootnoteReference"/>
          <w:sz w:val="16"/>
          <w:szCs w:val="16"/>
        </w:rPr>
        <w:footnoteRef/>
      </w:r>
      <w:r w:rsidR="00962B13" w:rsidRPr="00030932">
        <w:rPr>
          <w:rFonts w:cstheme="minorHAnsi"/>
          <w:sz w:val="16"/>
          <w:szCs w:val="16"/>
        </w:rPr>
        <w:t xml:space="preserve"> </w:t>
      </w:r>
      <w:r w:rsidR="004A122D" w:rsidRPr="00030932">
        <w:rPr>
          <w:rFonts w:cstheme="minorHAnsi"/>
          <w:sz w:val="16"/>
          <w:szCs w:val="16"/>
        </w:rPr>
        <w:fldChar w:fldCharType="begin"/>
      </w:r>
      <w:r w:rsidR="005A3579">
        <w:rPr>
          <w:rFonts w:cstheme="minorHAnsi"/>
          <w:sz w:val="16"/>
          <w:szCs w:val="16"/>
        </w:rPr>
        <w:instrText xml:space="preserve"> ADDIN ZOTERO_ITEM CSL_CITATION {"citationID":"udOExCkR","properties":{"formattedCitation":"Human Rights Committee, {\\i{}General Comment No 25 (Right to Participate in Public Affairs)} (n 268) at [23].","plainCitation":"Human Rights Committee, General Comment No 25 (Right to Participate in Public Affairs) (n 268) at [23].","noteIndex":285},"citationItems":[{"id":2045,"uris":["http://zotero.org/users/local/OLPofQUL/items/LINWXR5K"],"itemData":{"id":2045,"type":"book","publisher":"57th session, UN Dox CCPR/C/21/Rev.1/Add.7, (12 July 1996)","title":"General Comment No 25 (Right to participate in public affairs)","author":[{"family":"Human Rights Committee","given":""}]},"locator":"at [23]","label":"page"}],"schema":"https://github.com/citation-style-language/schema/raw/master/csl-citation.json"} </w:instrText>
      </w:r>
      <w:r w:rsidR="004A122D" w:rsidRPr="00030932">
        <w:rPr>
          <w:rFonts w:cstheme="minorHAnsi"/>
          <w:sz w:val="16"/>
          <w:szCs w:val="16"/>
        </w:rPr>
        <w:fldChar w:fldCharType="separate"/>
      </w:r>
      <w:r w:rsidR="005A3579" w:rsidRPr="005A3579">
        <w:rPr>
          <w:rFonts w:ascii="Calibri" w:hAnsi="Calibri" w:cs="Calibri"/>
          <w:sz w:val="16"/>
          <w:szCs w:val="24"/>
        </w:rPr>
        <w:t xml:space="preserve">Human Rights Committee, </w:t>
      </w:r>
      <w:r w:rsidR="005A3579" w:rsidRPr="005A3579">
        <w:rPr>
          <w:rFonts w:ascii="Calibri" w:hAnsi="Calibri" w:cs="Calibri"/>
          <w:i/>
          <w:iCs/>
          <w:sz w:val="16"/>
          <w:szCs w:val="24"/>
        </w:rPr>
        <w:t>General Comment No 25 (Right to Participate in Public Affairs)</w:t>
      </w:r>
      <w:r w:rsidR="005A3579" w:rsidRPr="005A3579">
        <w:rPr>
          <w:rFonts w:ascii="Calibri" w:hAnsi="Calibri" w:cs="Calibri"/>
          <w:sz w:val="16"/>
          <w:szCs w:val="24"/>
        </w:rPr>
        <w:t xml:space="preserve"> (n 268) at [23].</w:t>
      </w:r>
      <w:r w:rsidR="004A122D" w:rsidRPr="00030932">
        <w:rPr>
          <w:rFonts w:cstheme="minorHAnsi"/>
          <w:sz w:val="16"/>
          <w:szCs w:val="16"/>
        </w:rPr>
        <w:fldChar w:fldCharType="end"/>
      </w:r>
    </w:p>
  </w:footnote>
  <w:footnote w:id="162">
    <w:p w14:paraId="620D1258" w14:textId="526D3666" w:rsidR="00B21993" w:rsidRPr="00030932" w:rsidRDefault="00B21993">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The Victorian Electoral Commission successfully applied for an exemption from section 83 of the </w:t>
      </w:r>
      <w:r w:rsidRPr="00030932">
        <w:rPr>
          <w:rFonts w:cstheme="minorHAnsi"/>
          <w:i/>
          <w:sz w:val="16"/>
          <w:szCs w:val="16"/>
        </w:rPr>
        <w:t xml:space="preserve">Equal Opportunity Act 2010 </w:t>
      </w:r>
      <w:r w:rsidRPr="00030932">
        <w:rPr>
          <w:rFonts w:cstheme="minorHAnsi"/>
          <w:sz w:val="16"/>
          <w:szCs w:val="16"/>
        </w:rPr>
        <w:t xml:space="preserve">(Vic) </w:t>
      </w:r>
      <w:r w:rsidR="00EB0D41" w:rsidRPr="00030932">
        <w:rPr>
          <w:rFonts w:cstheme="minorHAnsi"/>
          <w:sz w:val="16"/>
          <w:szCs w:val="16"/>
        </w:rPr>
        <w:t>to require applicants to disclose political activities</w:t>
      </w:r>
      <w:r w:rsidR="009962A1" w:rsidRPr="00030932">
        <w:rPr>
          <w:rFonts w:cstheme="minorHAnsi"/>
          <w:sz w:val="16"/>
          <w:szCs w:val="16"/>
        </w:rPr>
        <w:t xml:space="preserve">, so that it could assess applicants within the context of its duties to impartiality: </w:t>
      </w:r>
      <w:r w:rsidR="009962A1" w:rsidRPr="00030932">
        <w:rPr>
          <w:rFonts w:cstheme="minorHAnsi"/>
          <w:i/>
          <w:sz w:val="16"/>
          <w:szCs w:val="16"/>
        </w:rPr>
        <w:t xml:space="preserve">Victorian Electoral Commission (Anti-Discrimination Exemption) </w:t>
      </w:r>
      <w:r w:rsidR="009962A1" w:rsidRPr="00030932">
        <w:rPr>
          <w:rFonts w:cstheme="minorHAnsi"/>
          <w:sz w:val="16"/>
          <w:szCs w:val="16"/>
        </w:rPr>
        <w:t>[2009] VCAT 2191.</w:t>
      </w:r>
    </w:p>
  </w:footnote>
  <w:footnote w:id="163">
    <w:p w14:paraId="152ACE46" w14:textId="49F07D03" w:rsidR="00C10ACF" w:rsidRPr="00030932" w:rsidRDefault="00C10ACF">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5A3579">
        <w:rPr>
          <w:rFonts w:cstheme="minorHAnsi"/>
          <w:sz w:val="16"/>
          <w:szCs w:val="16"/>
        </w:rPr>
        <w:instrText xml:space="preserve"> ADDIN ZOTERO_ITEM CSL_CITATION {"citationID":"VRg1TEey","properties":{"formattedCitation":"For experiences in Victoria, see: Legal and Social Issues Committee, {\\i{}Inquiry into Anti-Vilification Protections} (Parliament of Victoria, 2021) 25\\uc0\\u8211{}38 &lt;https://www.parliament.vic.gov.au/images/stories/committees/SCLSI/Inquiry_into_Homelessness_in_Victoria/Report/LCLSIC_59-06_Homelessness_in_Vic_Final_report.pdf&gt;.","plainCitation":"For experiences in Victoria, see: Legal and Social Issues Committee, Inquiry into Anti-Vilification Protections (Parliament of Victoria, 2021) 25–38 &lt;https://www.parliament.vic.gov.au/images/stories/committees/SCLSI/Inquiry_into_Homelessness_in_Victoria/Report/LCLSIC_59-06_Homelessness_in_Vic_Final_report.pdf&gt;.","noteIndex":287},"citationItems":[{"id":376,"uris":["http://zotero.org/users/local/OLPofQUL/items/AJ9CG87T"],"itemData":{"id":376,"type":"report","publisher":"Parliament of Victoria","title":"Inquiry into anti-vilification protections","URL":"https://www.parliament.vic.gov.au/images/stories/committees/SCLSI/Inquiry_into_Homelessness_in_Victoria/Report/LCLSIC_59-06_Homelessness_in_Vic_Final_report.pdf","author":[{"family":"Legal and Social Issues Committee","given":""}],"issued":{"date-parts":[["2021"]]}},"locator":"25-38","label":"page","prefix":"For experiences in Victoria, see:"}],"schema":"https://github.com/citation-style-language/schema/raw/master/csl-citation.json"} </w:instrText>
      </w:r>
      <w:r w:rsidRPr="00030932">
        <w:rPr>
          <w:rFonts w:cstheme="minorHAnsi"/>
          <w:sz w:val="16"/>
          <w:szCs w:val="16"/>
        </w:rPr>
        <w:fldChar w:fldCharType="separate"/>
      </w:r>
      <w:r w:rsidRPr="00030932">
        <w:rPr>
          <w:rFonts w:cstheme="minorHAnsi"/>
          <w:sz w:val="16"/>
          <w:szCs w:val="16"/>
        </w:rPr>
        <w:t xml:space="preserve">For experiences in Victoria, see: Legal and Social Issues Committee, </w:t>
      </w:r>
      <w:r w:rsidRPr="00030932">
        <w:rPr>
          <w:rFonts w:cstheme="minorHAnsi"/>
          <w:i/>
          <w:iCs/>
          <w:sz w:val="16"/>
          <w:szCs w:val="16"/>
        </w:rPr>
        <w:t>Inquiry into Anti-Vilification Protections</w:t>
      </w:r>
      <w:r w:rsidRPr="00030932">
        <w:rPr>
          <w:rFonts w:cstheme="minorHAnsi"/>
          <w:sz w:val="16"/>
          <w:szCs w:val="16"/>
        </w:rPr>
        <w:t xml:space="preserve"> (Parliament of Victoria, 2021) 25–38 &lt;https://www.parliament.vic.gov.au/images/stories/committees/SCLSI/Inquiry_into_Homelessness_in_Victoria/Report/LCLSIC_59-06_Homelessness_in_Vic_Final_report.pdf&gt;.</w:t>
      </w:r>
      <w:r w:rsidRPr="00030932">
        <w:rPr>
          <w:rFonts w:cstheme="minorHAnsi"/>
          <w:sz w:val="16"/>
          <w:szCs w:val="16"/>
        </w:rPr>
        <w:fldChar w:fldCharType="end"/>
      </w:r>
    </w:p>
  </w:footnote>
  <w:footnote w:id="164">
    <w:p w14:paraId="1F6AC8C9" w14:textId="19AAC3B8" w:rsidR="00C670D2" w:rsidRPr="00030932" w:rsidRDefault="00C670D2">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5A3579">
        <w:rPr>
          <w:rFonts w:cstheme="minorHAnsi"/>
          <w:sz w:val="16"/>
          <w:szCs w:val="16"/>
        </w:rPr>
        <w:instrText xml:space="preserve"> ADDIN ZOTERO_ITEM CSL_CITATION {"citationID":"T8L3UsOm","properties":{"formattedCitation":"State of Victoria, \\uc0\\u8216{}Royal Commission into Victoria\\uc0\\u8217{}s Mental Health System, Volume 3: Promoting Inclusion and Addressing Inequities\\uc0\\u8217{} (n 32) 149; Legal and Social Issues Committee (n 287) 39\\uc0\\u8211{}44.","plainCitation":"State of Victoria, ‘Royal Commission into Victoria’s Mental Health System, Volume 3: Promoting Inclusion and Addressing Inequities’ (n 32) 149; Legal and Social Issues Committee (n 287) 39–44.","noteIndex":288},"citationItems":[{"id":545,"uris":["http://zotero.org/users/local/OLPofQUL/items/2CWX2S5X"],"itemData":{"id":545,"type":"report","number":"Parliamentary Paper no. 202, Session 2018-2021 (document 4 of 6)","publisher":"State of Victoria","title":"Royal Commission into Victoria's Mental Health System, Volume 3: Promoting inclusion and addressing inequities","URL":"https://finalreport.rcvmhs.vic.gov.au/download-report/","author":[{"family":"State of Victoria","given":""}],"issued":{"date-parts":[["2021"]]}},"locator":"149","label":"page"},{"id":376,"uris":["http://zotero.org/users/local/OLPofQUL/items/AJ9CG87T"],"itemData":{"id":376,"type":"report","publisher":"Parliament of Victoria","title":"Inquiry into anti-vilification protections","URL":"https://www.parliament.vic.gov.au/images/stories/committees/SCLSI/Inquiry_into_Homelessness_in_Victoria/Report/LCLSIC_59-06_Homelessness_in_Vic_Final_report.pdf","author":[{"family":"Legal and Social Issues Committee","given":""}],"issued":{"date-parts":[["2021"]]}},"locator":"39-44","label":"page"}],"schema":"https://github.com/citation-style-language/schema/raw/master/csl-citation.json"} </w:instrText>
      </w:r>
      <w:r w:rsidRPr="00030932">
        <w:rPr>
          <w:rFonts w:cstheme="minorHAnsi"/>
          <w:sz w:val="16"/>
          <w:szCs w:val="16"/>
        </w:rPr>
        <w:fldChar w:fldCharType="separate"/>
      </w:r>
      <w:r w:rsidR="005A3579" w:rsidRPr="005A3579">
        <w:rPr>
          <w:rFonts w:ascii="Calibri" w:hAnsi="Calibri" w:cs="Calibri"/>
          <w:sz w:val="16"/>
          <w:szCs w:val="24"/>
        </w:rPr>
        <w:t>State of Victoria, ‘Royal Commission into Victoria’s Mental Health System, Volume 3: Promoting Inclusion and Addressing Inequities’ (n 32) 149; Legal and Social Issues Committee (n 287) 39–44.</w:t>
      </w:r>
      <w:r w:rsidRPr="00030932">
        <w:rPr>
          <w:rFonts w:cstheme="minorHAnsi"/>
          <w:sz w:val="16"/>
          <w:szCs w:val="16"/>
        </w:rPr>
        <w:fldChar w:fldCharType="end"/>
      </w:r>
    </w:p>
  </w:footnote>
  <w:footnote w:id="165">
    <w:p w14:paraId="4B7ED553" w14:textId="66544CBD" w:rsidR="009B167B" w:rsidRPr="00030932" w:rsidRDefault="009B167B">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The </w:t>
      </w:r>
      <w:r w:rsidRPr="00030932">
        <w:rPr>
          <w:rFonts w:cstheme="minorHAnsi"/>
          <w:i/>
          <w:sz w:val="16"/>
          <w:szCs w:val="16"/>
        </w:rPr>
        <w:t xml:space="preserve">Equal Opportunity Act 2010 </w:t>
      </w:r>
      <w:r w:rsidRPr="00030932">
        <w:rPr>
          <w:rFonts w:cstheme="minorHAnsi"/>
          <w:sz w:val="16"/>
          <w:szCs w:val="16"/>
        </w:rPr>
        <w:t>(Vic)</w:t>
      </w:r>
      <w:r w:rsidR="00BA15D4" w:rsidRPr="00030932">
        <w:rPr>
          <w:rFonts w:cstheme="minorHAnsi"/>
          <w:sz w:val="16"/>
          <w:szCs w:val="16"/>
        </w:rPr>
        <w:t xml:space="preserve"> protects people against direct and indirect discrimination on the grounds of race.</w:t>
      </w:r>
    </w:p>
  </w:footnote>
  <w:footnote w:id="166">
    <w:p w14:paraId="60472CE2" w14:textId="1E2F9404" w:rsidR="00BA15D4" w:rsidRPr="00030932" w:rsidRDefault="00BA15D4">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The </w:t>
      </w:r>
      <w:r w:rsidRPr="00030932">
        <w:rPr>
          <w:rFonts w:cstheme="minorHAnsi"/>
          <w:i/>
          <w:iCs/>
          <w:sz w:val="16"/>
          <w:szCs w:val="16"/>
        </w:rPr>
        <w:t xml:space="preserve">Racial and Religious Tolerance Act 2001 </w:t>
      </w:r>
      <w:r w:rsidRPr="00030932">
        <w:rPr>
          <w:rFonts w:cstheme="minorHAnsi"/>
          <w:sz w:val="16"/>
          <w:szCs w:val="16"/>
        </w:rPr>
        <w:t xml:space="preserve">(Vic) protects people against vilification on the grounds of race and religion. It does not protect people against vilification on the grounds of mental health: </w:t>
      </w:r>
      <w:r w:rsidR="00C7743B" w:rsidRPr="00030932">
        <w:rPr>
          <w:rFonts w:cstheme="minorHAnsi"/>
          <w:sz w:val="16"/>
          <w:szCs w:val="16"/>
        </w:rPr>
        <w:fldChar w:fldCharType="begin"/>
      </w:r>
      <w:r w:rsidR="005A3579">
        <w:rPr>
          <w:rFonts w:cstheme="minorHAnsi"/>
          <w:sz w:val="16"/>
          <w:szCs w:val="16"/>
        </w:rPr>
        <w:instrText xml:space="preserve"> ADDIN ZOTERO_ITEM CSL_CITATION {"citationID":"Z5r1aln7","properties":{"formattedCitation":"Katterl, \\uc0\\u8216{}Words That Hurt: Why Mental Health Stigma Is Often Vilification, and Requires Legal Protection\\uc0\\u8217{} (n 223).","plainCitation":"Katterl, ‘Words That Hurt: Why Mental Health Stigma Is Often Vilification, and Requires Legal Protection’ (n 223).","noteIndex":290},"citationItems":[{"id":1991,"uris":["http://zotero.org/users/local/OLPofQUL/items/G5UTAFN9"],"itemData":{"id":1991,"type":"article-journal","container-title":"Alternative Law Journal","issue":"0","page":"1-8","title":"Words that hurt: Why mental health stigma is often vilification, and requires legal protection","volume":"0","author":[{"family":"Katterl","given":"Simon"}],"issued":{"date-parts":[["2023"]]}}}],"schema":"https://github.com/citation-style-language/schema/raw/master/csl-citation.json"} </w:instrText>
      </w:r>
      <w:r w:rsidR="00C7743B" w:rsidRPr="00030932">
        <w:rPr>
          <w:rFonts w:cstheme="minorHAnsi"/>
          <w:sz w:val="16"/>
          <w:szCs w:val="16"/>
        </w:rPr>
        <w:fldChar w:fldCharType="separate"/>
      </w:r>
      <w:r w:rsidR="005A3579" w:rsidRPr="005A3579">
        <w:rPr>
          <w:rFonts w:ascii="Calibri" w:hAnsi="Calibri" w:cs="Calibri"/>
          <w:sz w:val="16"/>
          <w:szCs w:val="24"/>
        </w:rPr>
        <w:t>Katterl, ‘Words That Hurt: Why Mental Health Stigma Is Often Vilification, and Requires Legal Protection’ (n 223).</w:t>
      </w:r>
      <w:r w:rsidR="00C7743B" w:rsidRPr="00030932">
        <w:rPr>
          <w:rFonts w:cstheme="minorHAnsi"/>
          <w:sz w:val="16"/>
          <w:szCs w:val="16"/>
        </w:rPr>
        <w:fldChar w:fldCharType="end"/>
      </w:r>
    </w:p>
  </w:footnote>
  <w:footnote w:id="167">
    <w:p w14:paraId="06EDA9A9" w14:textId="159722DB" w:rsidR="00491D8B" w:rsidRPr="00030932" w:rsidRDefault="00491D8B">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00C42655" w:rsidRPr="00030932">
        <w:rPr>
          <w:rFonts w:cstheme="minorHAnsi"/>
          <w:sz w:val="16"/>
          <w:szCs w:val="16"/>
        </w:rPr>
        <w:t>Human Rights Committee, </w:t>
      </w:r>
      <w:r w:rsidR="00C42655" w:rsidRPr="00030932">
        <w:rPr>
          <w:rStyle w:val="Emphasis"/>
          <w:rFonts w:cstheme="minorHAnsi"/>
          <w:sz w:val="16"/>
          <w:szCs w:val="16"/>
        </w:rPr>
        <w:t>General Comment No 23 (Rights of minori</w:t>
      </w:r>
      <w:r w:rsidR="00315AB3" w:rsidRPr="00030932">
        <w:rPr>
          <w:rStyle w:val="Emphasis"/>
          <w:rFonts w:cstheme="minorHAnsi"/>
          <w:sz w:val="16"/>
          <w:szCs w:val="16"/>
        </w:rPr>
        <w:t>ti</w:t>
      </w:r>
      <w:r w:rsidR="00C42655" w:rsidRPr="00030932">
        <w:rPr>
          <w:rStyle w:val="Emphasis"/>
          <w:rFonts w:cstheme="minorHAnsi"/>
          <w:sz w:val="16"/>
          <w:szCs w:val="16"/>
        </w:rPr>
        <w:t xml:space="preserve">es), </w:t>
      </w:r>
      <w:r w:rsidR="004B5B6F" w:rsidRPr="00030932">
        <w:rPr>
          <w:rStyle w:val="Emphasis"/>
          <w:rFonts w:cstheme="minorHAnsi"/>
          <w:i w:val="0"/>
          <w:iCs w:val="0"/>
          <w:sz w:val="16"/>
          <w:szCs w:val="16"/>
        </w:rPr>
        <w:t>50</w:t>
      </w:r>
      <w:r w:rsidR="00C42655" w:rsidRPr="00030932">
        <w:rPr>
          <w:rStyle w:val="Emphasis"/>
          <w:rFonts w:cstheme="minorHAnsi"/>
          <w:i w:val="0"/>
          <w:iCs w:val="0"/>
          <w:sz w:val="16"/>
          <w:szCs w:val="16"/>
          <w:vertAlign w:val="superscript"/>
        </w:rPr>
        <w:t>th</w:t>
      </w:r>
      <w:r w:rsidR="00C42655" w:rsidRPr="00030932">
        <w:rPr>
          <w:rStyle w:val="Emphasis"/>
          <w:rFonts w:cstheme="minorHAnsi"/>
          <w:i w:val="0"/>
          <w:iCs w:val="0"/>
          <w:sz w:val="16"/>
          <w:szCs w:val="16"/>
        </w:rPr>
        <w:t xml:space="preserve"> session, UN Do</w:t>
      </w:r>
      <w:r w:rsidR="00B140E0" w:rsidRPr="00030932">
        <w:rPr>
          <w:rStyle w:val="Emphasis"/>
          <w:rFonts w:cstheme="minorHAnsi"/>
          <w:i w:val="0"/>
          <w:iCs w:val="0"/>
          <w:sz w:val="16"/>
          <w:szCs w:val="16"/>
        </w:rPr>
        <w:t>c</w:t>
      </w:r>
      <w:r w:rsidR="00C42655" w:rsidRPr="00030932">
        <w:rPr>
          <w:rStyle w:val="Emphasis"/>
          <w:rFonts w:cstheme="minorHAnsi"/>
          <w:i w:val="0"/>
          <w:iCs w:val="0"/>
          <w:sz w:val="16"/>
          <w:szCs w:val="16"/>
        </w:rPr>
        <w:t xml:space="preserve"> CCPR/C/21 (</w:t>
      </w:r>
      <w:r w:rsidR="004B5B6F" w:rsidRPr="00030932">
        <w:rPr>
          <w:rStyle w:val="Emphasis"/>
          <w:rFonts w:cstheme="minorHAnsi"/>
          <w:i w:val="0"/>
          <w:iCs w:val="0"/>
          <w:sz w:val="16"/>
          <w:szCs w:val="16"/>
        </w:rPr>
        <w:t>8 April 1994</w:t>
      </w:r>
      <w:r w:rsidR="00C42655" w:rsidRPr="00030932">
        <w:rPr>
          <w:rStyle w:val="Emphasis"/>
          <w:rFonts w:cstheme="minorHAnsi"/>
          <w:i w:val="0"/>
          <w:iCs w:val="0"/>
          <w:sz w:val="16"/>
          <w:szCs w:val="16"/>
        </w:rPr>
        <w:t>) at [</w:t>
      </w:r>
      <w:r w:rsidR="004B5B6F" w:rsidRPr="00030932">
        <w:rPr>
          <w:rStyle w:val="Emphasis"/>
          <w:rFonts w:cstheme="minorHAnsi"/>
          <w:i w:val="0"/>
          <w:iCs w:val="0"/>
          <w:sz w:val="16"/>
          <w:szCs w:val="16"/>
        </w:rPr>
        <w:t xml:space="preserve">3.1]; </w:t>
      </w:r>
      <w:r w:rsidR="00143FB1" w:rsidRPr="00030932">
        <w:rPr>
          <w:rStyle w:val="Emphasis"/>
          <w:rFonts w:cstheme="minorHAnsi"/>
          <w:sz w:val="16"/>
          <w:szCs w:val="16"/>
        </w:rPr>
        <w:t xml:space="preserve">Clark-Ugle v Clark </w:t>
      </w:r>
      <w:r w:rsidR="00143FB1" w:rsidRPr="00030932">
        <w:rPr>
          <w:rStyle w:val="Emphasis"/>
          <w:rFonts w:cstheme="minorHAnsi"/>
          <w:i w:val="0"/>
          <w:iCs w:val="0"/>
          <w:sz w:val="16"/>
          <w:szCs w:val="16"/>
        </w:rPr>
        <w:t>[2016] VSCA 44 at [140]-[149].</w:t>
      </w:r>
    </w:p>
  </w:footnote>
  <w:footnote w:id="168">
    <w:p w14:paraId="1B8C7649" w14:textId="0C5669E7" w:rsidR="00A226BF" w:rsidRPr="00030932" w:rsidRDefault="00A226BF">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00B6581A" w:rsidRPr="00030932">
        <w:rPr>
          <w:rFonts w:cstheme="minorHAnsi"/>
          <w:i/>
          <w:iCs/>
          <w:sz w:val="16"/>
          <w:szCs w:val="16"/>
        </w:rPr>
        <w:t xml:space="preserve">Kitok v </w:t>
      </w:r>
      <w:r w:rsidR="000B6376" w:rsidRPr="00030932">
        <w:rPr>
          <w:rFonts w:cstheme="minorHAnsi"/>
          <w:i/>
          <w:iCs/>
          <w:sz w:val="16"/>
          <w:szCs w:val="16"/>
        </w:rPr>
        <w:t xml:space="preserve">Sweden </w:t>
      </w:r>
      <w:r w:rsidR="000B6376" w:rsidRPr="00030932">
        <w:rPr>
          <w:rFonts w:cstheme="minorHAnsi"/>
          <w:sz w:val="16"/>
          <w:szCs w:val="16"/>
        </w:rPr>
        <w:t>(Communication No 197/1</w:t>
      </w:r>
      <w:r w:rsidR="0083590D" w:rsidRPr="00030932">
        <w:rPr>
          <w:rFonts w:cstheme="minorHAnsi"/>
          <w:sz w:val="16"/>
          <w:szCs w:val="16"/>
        </w:rPr>
        <w:t>985) UN Doc CCPR/C/33/D/197/1985, IHRL 2484 (UNHRC 1988)</w:t>
      </w:r>
      <w:r w:rsidR="000477FE" w:rsidRPr="00030932">
        <w:rPr>
          <w:rFonts w:cstheme="minorHAnsi"/>
          <w:sz w:val="16"/>
          <w:szCs w:val="16"/>
        </w:rPr>
        <w:t xml:space="preserve">; </w:t>
      </w:r>
      <w:r w:rsidR="000477FE" w:rsidRPr="00030932">
        <w:rPr>
          <w:rFonts w:cstheme="minorHAnsi"/>
          <w:sz w:val="16"/>
          <w:szCs w:val="16"/>
        </w:rPr>
        <w:fldChar w:fldCharType="begin"/>
      </w:r>
      <w:r w:rsidR="001131D7" w:rsidRPr="00030932">
        <w:rPr>
          <w:rFonts w:cstheme="minorHAnsi"/>
          <w:sz w:val="16"/>
          <w:szCs w:val="16"/>
        </w:rPr>
        <w:instrText xml:space="preserve"> ADDIN ZOTERO_ITEM CSL_CITATION {"citationID":"yfVUMHYy","properties":{"formattedCitation":"Joseph and Castan (n 63) 846\\uc0\\u8211{}847.","plainCitation":"Joseph and Castan (n 63) 846–847.","noteIndex":291},"citationItems":[{"id":1945,"uris":["http://zotero.org/users/local/OLPofQUL/items/GTZ62E8H"],"itemData":{"id":1945,"type":"book","ISBN":"0-19-964194-3","publisher":"Oxford University Press","title":"The international covenant on civil and political rights: cases, materials, and commentary","author":[{"family":"Joseph","given":"Sarah"},{"family":"Castan","given":"Melissa"}],"issued":{"date-parts":[["2013"]]}},"locator":"846-847","label":"page"}],"schema":"https://github.com/citation-style-language/schema/raw/master/csl-citation.json"} </w:instrText>
      </w:r>
      <w:r w:rsidR="000477FE" w:rsidRPr="00030932">
        <w:rPr>
          <w:rFonts w:cstheme="minorHAnsi"/>
          <w:sz w:val="16"/>
          <w:szCs w:val="16"/>
        </w:rPr>
        <w:fldChar w:fldCharType="separate"/>
      </w:r>
      <w:r w:rsidR="001131D7" w:rsidRPr="00030932">
        <w:rPr>
          <w:rFonts w:ascii="Calibri" w:hAnsi="Calibri" w:cs="Calibri"/>
          <w:sz w:val="16"/>
          <w:szCs w:val="16"/>
        </w:rPr>
        <w:t>Joseph and Castan (n 63) 846–847.</w:t>
      </w:r>
      <w:r w:rsidR="000477FE" w:rsidRPr="00030932">
        <w:rPr>
          <w:rFonts w:cstheme="minorHAnsi"/>
          <w:sz w:val="16"/>
          <w:szCs w:val="16"/>
        </w:rPr>
        <w:fldChar w:fldCharType="end"/>
      </w:r>
    </w:p>
  </w:footnote>
  <w:footnote w:id="169">
    <w:p w14:paraId="2E1BDAA3" w14:textId="0A759B41" w:rsidR="00FE706C" w:rsidRPr="00030932" w:rsidRDefault="00FE706C" w:rsidP="00FE706C">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Two UN Human Rights </w:t>
      </w:r>
      <w:r w:rsidR="008461D3" w:rsidRPr="00030932">
        <w:rPr>
          <w:rFonts w:cstheme="minorHAnsi"/>
          <w:sz w:val="16"/>
          <w:szCs w:val="16"/>
        </w:rPr>
        <w:t>Commi</w:t>
      </w:r>
      <w:r w:rsidR="00D06DAA" w:rsidRPr="00030932">
        <w:rPr>
          <w:rFonts w:cstheme="minorHAnsi"/>
          <w:sz w:val="16"/>
          <w:szCs w:val="16"/>
        </w:rPr>
        <w:t>ttee</w:t>
      </w:r>
      <w:r w:rsidR="008461D3" w:rsidRPr="00030932">
        <w:rPr>
          <w:rFonts w:cstheme="minorHAnsi"/>
          <w:sz w:val="16"/>
          <w:szCs w:val="16"/>
        </w:rPr>
        <w:t xml:space="preserve"> </w:t>
      </w:r>
      <w:r w:rsidRPr="00030932">
        <w:rPr>
          <w:rFonts w:cstheme="minorHAnsi"/>
          <w:sz w:val="16"/>
          <w:szCs w:val="16"/>
        </w:rPr>
        <w:t xml:space="preserve">assessments make this case: </w:t>
      </w:r>
      <w:r w:rsidRPr="00030932">
        <w:rPr>
          <w:rFonts w:cstheme="minorHAnsi"/>
          <w:i/>
          <w:sz w:val="16"/>
          <w:szCs w:val="16"/>
        </w:rPr>
        <w:t xml:space="preserve">Poma Poma v Peru </w:t>
      </w:r>
      <w:r w:rsidRPr="00030932">
        <w:rPr>
          <w:rFonts w:cstheme="minorHAnsi"/>
          <w:sz w:val="16"/>
          <w:szCs w:val="16"/>
        </w:rPr>
        <w:t xml:space="preserve">(Communication No 1457/2006); </w:t>
      </w:r>
      <w:r w:rsidRPr="00030932">
        <w:rPr>
          <w:rFonts w:cstheme="minorHAnsi"/>
          <w:i/>
          <w:sz w:val="16"/>
          <w:szCs w:val="16"/>
        </w:rPr>
        <w:t xml:space="preserve">Mahuika v New Zealand </w:t>
      </w:r>
      <w:r w:rsidRPr="00030932">
        <w:rPr>
          <w:rFonts w:cstheme="minorHAnsi"/>
          <w:sz w:val="16"/>
          <w:szCs w:val="16"/>
        </w:rPr>
        <w:t xml:space="preserve">(Communication No 547/1993). </w:t>
      </w:r>
    </w:p>
  </w:footnote>
  <w:footnote w:id="170">
    <w:p w14:paraId="7E7E3665" w14:textId="0866245B" w:rsidR="00F9215B" w:rsidRPr="00030932" w:rsidRDefault="00F9215B">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sz w:val="16"/>
          <w:szCs w:val="16"/>
        </w:rPr>
        <w:t xml:space="preserve">Hoskin v Greater Bendigo City Council </w:t>
      </w:r>
      <w:r w:rsidRPr="00030932">
        <w:rPr>
          <w:rFonts w:cstheme="minorHAnsi"/>
          <w:sz w:val="16"/>
          <w:szCs w:val="16"/>
        </w:rPr>
        <w:t>(2015</w:t>
      </w:r>
      <w:r w:rsidR="00CD10CC" w:rsidRPr="00030932">
        <w:rPr>
          <w:rFonts w:cstheme="minorHAnsi"/>
          <w:sz w:val="16"/>
          <w:szCs w:val="16"/>
        </w:rPr>
        <w:t xml:space="preserve">) 48 VR 715; </w:t>
      </w:r>
      <w:r w:rsidR="00E712E2" w:rsidRPr="00030932">
        <w:rPr>
          <w:rFonts w:cstheme="minorHAnsi"/>
          <w:sz w:val="16"/>
          <w:szCs w:val="16"/>
        </w:rPr>
        <w:t>[2015] VSCA 350</w:t>
      </w:r>
      <w:r w:rsidR="00F53139" w:rsidRPr="00030932">
        <w:rPr>
          <w:rFonts w:cstheme="minorHAnsi"/>
          <w:sz w:val="16"/>
          <w:szCs w:val="16"/>
        </w:rPr>
        <w:t xml:space="preserve">, where the court rejected an argument that building the mosque would lead to </w:t>
      </w:r>
      <w:r w:rsidR="00161678" w:rsidRPr="00030932">
        <w:rPr>
          <w:rFonts w:cstheme="minorHAnsi"/>
          <w:sz w:val="16"/>
          <w:szCs w:val="16"/>
        </w:rPr>
        <w:t xml:space="preserve">‘significant [negative] social effects’ </w:t>
      </w:r>
      <w:r w:rsidR="00A82879" w:rsidRPr="00030932">
        <w:rPr>
          <w:rFonts w:cstheme="minorHAnsi"/>
          <w:sz w:val="16"/>
          <w:szCs w:val="16"/>
        </w:rPr>
        <w:t xml:space="preserve">in the neighbourhood by changing the religious and cultural practices in the area. The court utilised section 19(1) of the Charter to find that </w:t>
      </w:r>
      <w:r w:rsidR="0057472B" w:rsidRPr="00030932">
        <w:rPr>
          <w:rFonts w:cstheme="minorHAnsi"/>
          <w:sz w:val="16"/>
          <w:szCs w:val="16"/>
        </w:rPr>
        <w:t>the relevant planning laws</w:t>
      </w:r>
      <w:r w:rsidR="001D15EE" w:rsidRPr="00030932">
        <w:rPr>
          <w:rFonts w:cstheme="minorHAnsi"/>
          <w:sz w:val="16"/>
          <w:szCs w:val="16"/>
        </w:rPr>
        <w:t>, properly interpreted,</w:t>
      </w:r>
      <w:r w:rsidR="0057472B" w:rsidRPr="00030932">
        <w:rPr>
          <w:rFonts w:cstheme="minorHAnsi"/>
          <w:sz w:val="16"/>
          <w:szCs w:val="16"/>
        </w:rPr>
        <w:t xml:space="preserve"> could not </w:t>
      </w:r>
      <w:r w:rsidR="001D15EE" w:rsidRPr="00030932">
        <w:rPr>
          <w:rFonts w:cstheme="minorHAnsi"/>
          <w:sz w:val="16"/>
          <w:szCs w:val="16"/>
        </w:rPr>
        <w:t>find</w:t>
      </w:r>
      <w:r w:rsidR="0057472B" w:rsidRPr="00030932">
        <w:rPr>
          <w:rFonts w:cstheme="minorHAnsi"/>
          <w:sz w:val="16"/>
          <w:szCs w:val="16"/>
        </w:rPr>
        <w:t xml:space="preserve"> </w:t>
      </w:r>
      <w:r w:rsidR="007A17E3" w:rsidRPr="00030932">
        <w:rPr>
          <w:rFonts w:cstheme="minorHAnsi"/>
          <w:sz w:val="16"/>
          <w:szCs w:val="16"/>
        </w:rPr>
        <w:t>normal religious practice as having significant social effects</w:t>
      </w:r>
      <w:r w:rsidR="00E712E2" w:rsidRPr="00030932">
        <w:rPr>
          <w:rFonts w:cstheme="minorHAnsi"/>
          <w:sz w:val="16"/>
          <w:szCs w:val="16"/>
        </w:rPr>
        <w:t xml:space="preserve">. To read more about the case, see: </w:t>
      </w:r>
      <w:r w:rsidR="002D263B" w:rsidRPr="00030932">
        <w:rPr>
          <w:rFonts w:cstheme="minorHAnsi"/>
          <w:sz w:val="16"/>
          <w:szCs w:val="16"/>
        </w:rPr>
        <w:fldChar w:fldCharType="begin"/>
      </w:r>
      <w:r w:rsidR="00E33440" w:rsidRPr="00030932">
        <w:rPr>
          <w:rFonts w:cstheme="minorHAnsi"/>
          <w:sz w:val="16"/>
          <w:szCs w:val="16"/>
        </w:rPr>
        <w:instrText xml:space="preserve"> ADDIN ZOTERO_ITEM CSL_CITATION {"citationID":"Njc0yXvC","properties":{"formattedCitation":"Madeleine Morris, \\uc0\\u8216{}Nationalist Group behind Bendigo\\uc0\\u8217{}s Anti-Mosque Protest\\uc0\\u8217{}, {\\i{}ABC News} (online, 12 October 2015) &lt;https://www.abc.net.au/news/2015-10-12/who-was-behind-bendigos-anti-mosque-protests/6848468&gt;.","plainCitation":"Madeleine Morris, ‘Nationalist Group behind Bendigo’s Anti-Mosque Protest’, ABC News (online, 12 October 2015) &lt;https://www.abc.net.au/news/2015-10-12/who-was-behind-bendigos-anti-mosque-protests/6848468&gt;.","noteIndex":292},"citationItems":[{"id":2018,"uris":["http://zotero.org/users/local/OLPofQUL/items/6IYJKKGM"],"itemData":{"id":2018,"type":"article-newspaper","abstract":"A significant proportion of the protesters who demonstrated on the weekend against a proposal to build a mosque in Bendigo were members of nationalist group United Patriots Front and had travelled interstate to protest.","container-title":"ABC News","language":"en-AU","source":"www.abc.net.au","title":"Nationalist group behind Bendigo's anti-mosque protest","URL":"https://www.abc.net.au/news/2015-10-12/who-was-behind-bendigos-anti-mosque-protests/6848468","author":[{"family":"Morris","given":"Madeleine"}],"accessed":{"date-parts":[["2023",1,9]]},"issued":{"date-parts":[["2015",10,12]]}}}],"schema":"https://github.com/citation-style-language/schema/raw/master/csl-citation.json"} </w:instrText>
      </w:r>
      <w:r w:rsidR="002D263B" w:rsidRPr="00030932">
        <w:rPr>
          <w:rFonts w:cstheme="minorHAnsi"/>
          <w:sz w:val="16"/>
          <w:szCs w:val="16"/>
        </w:rPr>
        <w:fldChar w:fldCharType="separate"/>
      </w:r>
      <w:r w:rsidR="002D263B" w:rsidRPr="00030932">
        <w:rPr>
          <w:rFonts w:cstheme="minorHAnsi"/>
          <w:sz w:val="16"/>
          <w:szCs w:val="16"/>
        </w:rPr>
        <w:t xml:space="preserve">Madeleine Morris, ‘Nationalist Group behind Bendigo’s Anti-Mosque Protest’, </w:t>
      </w:r>
      <w:r w:rsidR="002D263B" w:rsidRPr="00030932">
        <w:rPr>
          <w:rFonts w:cstheme="minorHAnsi"/>
          <w:i/>
          <w:iCs/>
          <w:sz w:val="16"/>
          <w:szCs w:val="16"/>
        </w:rPr>
        <w:t>ABC News</w:t>
      </w:r>
      <w:r w:rsidR="002D263B" w:rsidRPr="00030932">
        <w:rPr>
          <w:rFonts w:cstheme="minorHAnsi"/>
          <w:sz w:val="16"/>
          <w:szCs w:val="16"/>
        </w:rPr>
        <w:t xml:space="preserve"> (online, 12 October 2015) &lt;https://www.abc.net.au/news/2015-10-12/who-was-behind-bendigos-anti-mosque-protests/6848468&gt;.</w:t>
      </w:r>
      <w:r w:rsidR="002D263B" w:rsidRPr="00030932">
        <w:rPr>
          <w:rFonts w:cstheme="minorHAnsi"/>
          <w:sz w:val="16"/>
          <w:szCs w:val="16"/>
        </w:rPr>
        <w:fldChar w:fldCharType="end"/>
      </w:r>
    </w:p>
  </w:footnote>
  <w:footnote w:id="171">
    <w:p w14:paraId="33844C49" w14:textId="37BFD882" w:rsidR="005D4AB7" w:rsidRPr="00030932" w:rsidRDefault="005D4AB7">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In </w:t>
      </w:r>
      <w:r w:rsidRPr="00030932">
        <w:rPr>
          <w:rFonts w:cstheme="minorHAnsi"/>
          <w:i/>
          <w:sz w:val="16"/>
          <w:szCs w:val="16"/>
        </w:rPr>
        <w:t xml:space="preserve">Ford v Quebec (Attorney General ) </w:t>
      </w:r>
      <w:r w:rsidRPr="00030932">
        <w:rPr>
          <w:rFonts w:cstheme="minorHAnsi"/>
          <w:sz w:val="16"/>
          <w:szCs w:val="16"/>
        </w:rPr>
        <w:t xml:space="preserve">[1988] 2 SCR 712, the Supreme Court in Canada struck down </w:t>
      </w:r>
      <w:r w:rsidR="00C9712D" w:rsidRPr="00030932">
        <w:rPr>
          <w:rFonts w:cstheme="minorHAnsi"/>
          <w:sz w:val="16"/>
          <w:szCs w:val="16"/>
        </w:rPr>
        <w:t>legislation that banned the use of signs</w:t>
      </w:r>
      <w:r w:rsidR="00647F06" w:rsidRPr="00030932">
        <w:rPr>
          <w:rFonts w:cstheme="minorHAnsi"/>
          <w:sz w:val="16"/>
          <w:szCs w:val="16"/>
        </w:rPr>
        <w:t xml:space="preserve"> in any other language than French.</w:t>
      </w:r>
    </w:p>
  </w:footnote>
  <w:footnote w:id="172">
    <w:p w14:paraId="5F37B9EF" w14:textId="526B56C2" w:rsidR="006A4538" w:rsidRPr="00030932" w:rsidRDefault="006A4538">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5A3579">
        <w:rPr>
          <w:rFonts w:cstheme="minorHAnsi"/>
          <w:sz w:val="16"/>
          <w:szCs w:val="16"/>
        </w:rPr>
        <w:instrText xml:space="preserve"> ADDIN ZOTERO_ITEM CSL_CITATION {"citationID":"NKYvzRX7","properties":{"formattedCitation":"Australian Psychological Society, \\uc0\\u8216{}Australian Psychological Society Apologises to Aboriginal and Torres Strait Islander People\\uc0\\u8217{}, {\\i{}Australian Psychological Society} (15 September 2016) &lt;https://psychology.org.au/news/media_releases/15september2016&gt;; Djirra spoke about how the mental health system misunderstood culturally-grounded experiences of hearing one\\uc0\\u8217{}s ancestors, and that the system was more of a \\uc0\\u8216{}diagnostic system\\uc0\\u8217{} than a \\uc0\\u8216{}therapeutic system\\uc0\\u8217{}: Djirra, {\\i{}Submission to the Royal Commission into Victoria\\uc0\\u8217{}s Mental Health System} (July 2019) 44 &lt;http://rcvmhs.archive.royalcommission.vic.gov.au/Djirra.pdf&gt;.","plainCitation":"Australian Psychological Society, ‘Australian Psychological Society Apologises to Aboriginal and Torres Strait Islander People’, Australian Psychological Society (15 September 2016) &lt;https://psychology.org.au/news/media_releases/15september2016&gt;; Djirra spoke about how the mental health system misunderstood culturally-grounded experiences of hearing one’s ancestors, and that the system was more of a ‘diagnostic system’ than a ‘therapeutic system’: Djirra, Submission to the Royal Commission into Victoria’s Mental Health System (July 2019) 44 &lt;http://rcvmhs.archive.royalcommission.vic.gov.au/Djirra.pdf&gt;.","noteIndex":296},"citationItems":[{"id":1761,"uris":["http://zotero.org/users/local/OLPofQUL/items/EGJUGABL"],"itemData":{"id":1761,"type":"webpage","container-title":"Australian Psychological Society","title":"Australian Psychological Society apologises to Aboriginal and Torres Strait Islander People","URL":"https://psychology.org.au/news/media_releases/15september2016","author":[{"family":"Australian Psychological Society","given":""}],"accessed":{"date-parts":[["2022",10,28]]},"issued":{"date-parts":[["2016",9,15]]}}},{"id":2021,"uris":["http://zotero.org/users/local/OLPofQUL/items/IN8ZZV5C"],"itemData":{"id":2021,"type":"report","title":"Submission to the Royal Commission into Victoria's Mental Health System","URL":"http://rcvmhs.archive.royalcommission.vic.gov.au/Djirra.pdf","author":[{"family":"Djirra","given":""}],"issued":{"date-parts":[["2019",7]]}},"locator":"44","label":"page","prefix":"Djirra spoke about how the mental health system misunderstood culturally-grounded experiences of hearing one's ancestors, and that the system was more of a 'diagnostic system' than a 'therapeutic system':"}],"schema":"https://github.com/citation-style-language/schema/raw/master/csl-citation.json"} </w:instrText>
      </w:r>
      <w:r w:rsidRPr="00030932">
        <w:rPr>
          <w:rFonts w:cstheme="minorHAnsi"/>
          <w:sz w:val="16"/>
          <w:szCs w:val="16"/>
        </w:rPr>
        <w:fldChar w:fldCharType="separate"/>
      </w:r>
      <w:r w:rsidRPr="00030932">
        <w:rPr>
          <w:rFonts w:cstheme="minorHAnsi"/>
          <w:sz w:val="16"/>
          <w:szCs w:val="16"/>
        </w:rPr>
        <w:t xml:space="preserve">Australian Psychological Society, ‘Australian Psychological Society Apologises to Aboriginal and Torres Strait Islander People’, </w:t>
      </w:r>
      <w:r w:rsidRPr="00030932">
        <w:rPr>
          <w:rFonts w:cstheme="minorHAnsi"/>
          <w:i/>
          <w:iCs/>
          <w:sz w:val="16"/>
          <w:szCs w:val="16"/>
        </w:rPr>
        <w:t>Australian Psychological Society</w:t>
      </w:r>
      <w:r w:rsidRPr="00030932">
        <w:rPr>
          <w:rFonts w:cstheme="minorHAnsi"/>
          <w:sz w:val="16"/>
          <w:szCs w:val="16"/>
        </w:rPr>
        <w:t xml:space="preserve"> (15 September 2016) &lt;https://psychology.org.au/news/media_releases/15september2016&gt;; Djirra spoke about how the mental health system misunderstood culturally-grounded experiences of hearing one’s ancestors, and that the system was more of a ‘diagnostic system’ than a ‘therapeutic system’: Djirra, </w:t>
      </w:r>
      <w:r w:rsidRPr="00030932">
        <w:rPr>
          <w:rFonts w:cstheme="minorHAnsi"/>
          <w:i/>
          <w:iCs/>
          <w:sz w:val="16"/>
          <w:szCs w:val="16"/>
        </w:rPr>
        <w:t>Submission to the Royal Commission into Victoria’s Mental Health System</w:t>
      </w:r>
      <w:r w:rsidRPr="00030932">
        <w:rPr>
          <w:rFonts w:cstheme="minorHAnsi"/>
          <w:sz w:val="16"/>
          <w:szCs w:val="16"/>
        </w:rPr>
        <w:t xml:space="preserve"> (July 2019) 44 &lt;http://rcvmhs.archive.royalcommission.vic.gov.au/Djirra.pdf&gt;.</w:t>
      </w:r>
      <w:r w:rsidRPr="00030932">
        <w:rPr>
          <w:rFonts w:cstheme="minorHAnsi"/>
          <w:sz w:val="16"/>
          <w:szCs w:val="16"/>
        </w:rPr>
        <w:fldChar w:fldCharType="end"/>
      </w:r>
      <w:r w:rsidR="005E2A5E" w:rsidRPr="00030932">
        <w:rPr>
          <w:rFonts w:cstheme="minorHAnsi"/>
          <w:sz w:val="16"/>
          <w:szCs w:val="16"/>
        </w:rPr>
        <w:t xml:space="preserve"> </w:t>
      </w:r>
      <w:r w:rsidR="003B3857" w:rsidRPr="00030932">
        <w:rPr>
          <w:rFonts w:cstheme="minorHAnsi"/>
          <w:sz w:val="16"/>
          <w:szCs w:val="16"/>
        </w:rPr>
        <w:t xml:space="preserve">For a critical review of the Global Mental Health movement and its impacts on </w:t>
      </w:r>
      <w:r w:rsidR="000D6DE8" w:rsidRPr="00030932">
        <w:rPr>
          <w:rFonts w:cstheme="minorHAnsi"/>
          <w:sz w:val="16"/>
          <w:szCs w:val="16"/>
        </w:rPr>
        <w:t xml:space="preserve">different cultures, particularly in the ‘Global South’, see: </w:t>
      </w:r>
      <w:r w:rsidR="000D6DE8" w:rsidRPr="00030932">
        <w:rPr>
          <w:rFonts w:cstheme="minorHAnsi"/>
          <w:sz w:val="16"/>
          <w:szCs w:val="16"/>
        </w:rPr>
        <w:fldChar w:fldCharType="begin"/>
      </w:r>
      <w:r w:rsidR="00E33440" w:rsidRPr="00030932">
        <w:rPr>
          <w:rFonts w:cstheme="minorHAnsi"/>
          <w:sz w:val="16"/>
          <w:szCs w:val="16"/>
        </w:rPr>
        <w:instrText xml:space="preserve"> ADDIN ZOTERO_ITEM CSL_CITATION {"citationID":"v9XNOPZS","properties":{"formattedCitation":"Ethan Watters, {\\i{}Crazy like Us: The Globalization of the American Psyche} (Simon and Schuster, 2010); Nikolas Rose, {\\i{}Our Psychiatric Future} (John Wiley &amp; Sons, 2018) 134\\uc0\\u8211{}149.","plainCitation":"Ethan Watters, Crazy like Us: The Globalization of the American Psyche (Simon and Schuster, 2010); Nikolas Rose, Our Psychiatric Future (John Wiley &amp; Sons, 2018) 134–149.","noteIndex":294},"citationItems":[{"id":2022,"uris":["http://zotero.org/users/local/OLPofQUL/items/MTNTN2KM"],"itemData":{"id":2022,"type":"book","ISBN":"1-4165-8719-5","publisher":"Simon and Schuster","title":"Crazy like us: The globalization of the American psyche","author":[{"family":"Watters","given":"Ethan"}],"issued":{"date-parts":[["2010"]]}}},{"id":193,"uris":["http://zotero.org/users/local/OLPofQUL/items/3ENGJKIQ"],"itemData":{"id":193,"type":"book","ISBN":"0-7456-8915-9","publisher":"John Wiley &amp; Sons","title":"Our psychiatric future","author":[{"family":"Rose","given":"Nikolas"}],"issued":{"date-parts":[["2018"]]}},"locator":"134-149","label":"page"}],"schema":"https://github.com/citation-style-language/schema/raw/master/csl-citation.json"} </w:instrText>
      </w:r>
      <w:r w:rsidR="000D6DE8" w:rsidRPr="00030932">
        <w:rPr>
          <w:rFonts w:cstheme="minorHAnsi"/>
          <w:sz w:val="16"/>
          <w:szCs w:val="16"/>
        </w:rPr>
        <w:fldChar w:fldCharType="separate"/>
      </w:r>
      <w:r w:rsidR="000D6DE8" w:rsidRPr="00030932">
        <w:rPr>
          <w:rFonts w:cstheme="minorHAnsi"/>
          <w:sz w:val="16"/>
          <w:szCs w:val="16"/>
        </w:rPr>
        <w:t xml:space="preserve">Ethan Watters, </w:t>
      </w:r>
      <w:r w:rsidR="000D6DE8" w:rsidRPr="00030932">
        <w:rPr>
          <w:rFonts w:cstheme="minorHAnsi"/>
          <w:i/>
          <w:iCs/>
          <w:sz w:val="16"/>
          <w:szCs w:val="16"/>
        </w:rPr>
        <w:t>Crazy like Us: The Globalization of the American Psyche</w:t>
      </w:r>
      <w:r w:rsidR="000D6DE8" w:rsidRPr="00030932">
        <w:rPr>
          <w:rFonts w:cstheme="minorHAnsi"/>
          <w:sz w:val="16"/>
          <w:szCs w:val="16"/>
        </w:rPr>
        <w:t xml:space="preserve"> (Simon and Schuster, 2010); Nikolas Rose, </w:t>
      </w:r>
      <w:r w:rsidR="000D6DE8" w:rsidRPr="00030932">
        <w:rPr>
          <w:rFonts w:cstheme="minorHAnsi"/>
          <w:i/>
          <w:iCs/>
          <w:sz w:val="16"/>
          <w:szCs w:val="16"/>
        </w:rPr>
        <w:t>Our Psychiatric Future</w:t>
      </w:r>
      <w:r w:rsidR="000D6DE8" w:rsidRPr="00030932">
        <w:rPr>
          <w:rFonts w:cstheme="minorHAnsi"/>
          <w:sz w:val="16"/>
          <w:szCs w:val="16"/>
        </w:rPr>
        <w:t xml:space="preserve"> (John Wiley &amp; Sons, 2018) 134–149.</w:t>
      </w:r>
      <w:r w:rsidR="000D6DE8" w:rsidRPr="00030932">
        <w:rPr>
          <w:rFonts w:cstheme="minorHAnsi"/>
          <w:sz w:val="16"/>
          <w:szCs w:val="16"/>
        </w:rPr>
        <w:fldChar w:fldCharType="end"/>
      </w:r>
    </w:p>
  </w:footnote>
  <w:footnote w:id="173">
    <w:p w14:paraId="139E6414" w14:textId="22552E82" w:rsidR="001F43C5" w:rsidRPr="00030932" w:rsidRDefault="001F43C5">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5A3579">
        <w:rPr>
          <w:rFonts w:cstheme="minorHAnsi"/>
          <w:sz w:val="16"/>
          <w:szCs w:val="16"/>
        </w:rPr>
        <w:instrText xml:space="preserve"> ADDIN ZOTERO_ITEM CSL_CITATION {"citationID":"aZVTj0Bk","properties":{"formattedCitation":"The Australian Psychological Society has apologised to Aboriginal and Torres Strait Islander people for the use of assessments that provided \\uc0\\u8216{}misleading and inaccurate\\uc0\\u8217{} messages about the abilities and capacities of Aboriginal and Torres Strait Islander people: Australian Psychological Society (n 296).","plainCitation":"The Australian Psychological Society has apologised to Aboriginal and Torres Strait Islander people for the use of assessments that provided ‘misleading and inaccurate’ messages about the abilities and capacities of Aboriginal and Torres Strait Islander people: Australian Psychological Society (n 296).","noteIndex":297},"citationItems":[{"id":1761,"uris":["http://zotero.org/users/local/OLPofQUL/items/EGJUGABL"],"itemData":{"id":1761,"type":"webpage","container-title":"Australian Psychological Society","title":"Australian Psychological Society apologises to Aboriginal and Torres Strait Islander People","URL":"https://psychology.org.au/news/media_releases/15september2016","author":[{"family":"Australian Psychological Society","given":""}],"accessed":{"date-parts":[["2022",10,28]]},"issued":{"date-parts":[["2016",9,15]]}},"label":"page","prefix":"The Australian Psychological Society has apologised to Aboriginal and Torres Strait Islander people for the use of assessments that provided 'misleading and inaccurate' messages about the abilities and capacities of Aboriginal and Torres Strait Islander people:"}],"schema":"https://github.com/citation-style-language/schema/raw/master/csl-citation.json"} </w:instrText>
      </w:r>
      <w:r w:rsidRPr="00030932">
        <w:rPr>
          <w:rFonts w:cstheme="minorHAnsi"/>
          <w:sz w:val="16"/>
          <w:szCs w:val="16"/>
        </w:rPr>
        <w:fldChar w:fldCharType="separate"/>
      </w:r>
      <w:r w:rsidR="005A3579" w:rsidRPr="005A3579">
        <w:rPr>
          <w:rFonts w:ascii="Calibri" w:hAnsi="Calibri" w:cs="Calibri"/>
          <w:sz w:val="16"/>
          <w:szCs w:val="24"/>
        </w:rPr>
        <w:t>The Australian Psychological Society has apologised to Aboriginal and Torres Strait Islander people for the use of assessments that provided ‘misleading and inaccurate’ messages about the abilities and capacities of Aboriginal and Torres Strait Islander people: Australian Psychological Society (n 296).</w:t>
      </w:r>
      <w:r w:rsidRPr="00030932">
        <w:rPr>
          <w:rFonts w:cstheme="minorHAnsi"/>
          <w:sz w:val="16"/>
          <w:szCs w:val="16"/>
        </w:rPr>
        <w:fldChar w:fldCharType="end"/>
      </w:r>
    </w:p>
  </w:footnote>
  <w:footnote w:id="174">
    <w:p w14:paraId="1937A340" w14:textId="160F3197" w:rsidR="00546EC4" w:rsidRPr="00030932" w:rsidRDefault="00546EC4">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00C03A90" w:rsidRPr="00030932">
        <w:rPr>
          <w:rFonts w:cstheme="minorHAnsi"/>
          <w:sz w:val="16"/>
          <w:szCs w:val="16"/>
        </w:rPr>
        <w:t xml:space="preserve">As noted in </w:t>
      </w:r>
      <w:r w:rsidR="00C03A90" w:rsidRPr="00030932">
        <w:rPr>
          <w:rFonts w:cstheme="minorHAnsi"/>
          <w:i/>
          <w:sz w:val="16"/>
          <w:szCs w:val="16"/>
        </w:rPr>
        <w:t>AQH</w:t>
      </w:r>
      <w:r w:rsidR="00C03A90" w:rsidRPr="00030932">
        <w:rPr>
          <w:rFonts w:cstheme="minorHAnsi"/>
          <w:sz w:val="16"/>
          <w:szCs w:val="16"/>
        </w:rPr>
        <w:t xml:space="preserve"> [2017] VMHT 24 (5 April 2017), the Mental Health Tribunal reflected on the importance of </w:t>
      </w:r>
      <w:r w:rsidR="009B1502" w:rsidRPr="00030932">
        <w:rPr>
          <w:rFonts w:cstheme="minorHAnsi"/>
          <w:sz w:val="16"/>
          <w:szCs w:val="16"/>
        </w:rPr>
        <w:t>providing</w:t>
      </w:r>
      <w:r w:rsidR="00452734" w:rsidRPr="00030932">
        <w:rPr>
          <w:rFonts w:cstheme="minorHAnsi"/>
          <w:sz w:val="16"/>
          <w:szCs w:val="16"/>
        </w:rPr>
        <w:t xml:space="preserve"> an Aboriginal woman with mental health care in the community where she could remain </w:t>
      </w:r>
      <w:r w:rsidR="001138B1" w:rsidRPr="00030932">
        <w:rPr>
          <w:rFonts w:cstheme="minorHAnsi"/>
          <w:sz w:val="16"/>
          <w:szCs w:val="16"/>
        </w:rPr>
        <w:t xml:space="preserve">at </w:t>
      </w:r>
      <w:r w:rsidR="00452734" w:rsidRPr="00030932">
        <w:rPr>
          <w:rFonts w:cstheme="minorHAnsi"/>
          <w:sz w:val="16"/>
          <w:szCs w:val="16"/>
        </w:rPr>
        <w:t>home and get access to care from a culturally-safe service.</w:t>
      </w:r>
    </w:p>
  </w:footnote>
  <w:footnote w:id="175">
    <w:p w14:paraId="42B093E8" w14:textId="63356B9C" w:rsidR="00BE5653" w:rsidRPr="00030932" w:rsidRDefault="00BE5653">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E33440" w:rsidRPr="00030932">
        <w:rPr>
          <w:rFonts w:cstheme="minorHAnsi"/>
          <w:sz w:val="16"/>
          <w:szCs w:val="16"/>
        </w:rPr>
        <w:instrText xml:space="preserve"> ADDIN ZOTERO_ITEM CSL_CITATION {"citationID":"Al2tlGYe","properties":{"formattedCitation":"Chris Groot, {\\i{}Witness Statement 4 September 2019 to the Royal Commission into Victoria\\uc0\\u8217{}s Mental Health System} (2019) 15 &lt;http://rcvmhs.archive.royalcommission.vic.gov.au/WIT.0001.0069.0001.pdf&gt;.","plainCitation":"Chris Groot, Witness Statement 4 September 2019 to the Royal Commission into Victoria’s Mental Health System (2019) 15 &lt;http://rcvmhs.archive.royalcommission.vic.gov.au/WIT.0001.0069.0001.pdf&gt;.","noteIndex":297},"citationItems":[{"id":1149,"uris":["http://zotero.org/users/local/OLPofQUL/items/HIJWUBZZ"],"itemData":{"id":1149,"type":"report","title":"Witness Statement 4 September 2019 to the Royal Commission into Victoria’s Mental Health System","URL":"http://rcvmhs.archive.royalcommission.vic.gov.au/WIT.0001.0069.0001.pdf","author":[{"family":"Groot","given":"Chris"}],"issued":{"date-parts":[["2019"]]}},"locator":"15","label":"page"}],"schema":"https://github.com/citation-style-language/schema/raw/master/csl-citation.json"} </w:instrText>
      </w:r>
      <w:r w:rsidRPr="00030932">
        <w:rPr>
          <w:rFonts w:cstheme="minorHAnsi"/>
          <w:sz w:val="16"/>
          <w:szCs w:val="16"/>
        </w:rPr>
        <w:fldChar w:fldCharType="separate"/>
      </w:r>
      <w:r w:rsidRPr="00030932">
        <w:rPr>
          <w:rFonts w:cstheme="minorHAnsi"/>
          <w:sz w:val="16"/>
          <w:szCs w:val="16"/>
        </w:rPr>
        <w:t xml:space="preserve">Chris Groot, </w:t>
      </w:r>
      <w:r w:rsidRPr="00030932">
        <w:rPr>
          <w:rFonts w:cstheme="minorHAnsi"/>
          <w:i/>
          <w:iCs/>
          <w:sz w:val="16"/>
          <w:szCs w:val="16"/>
        </w:rPr>
        <w:t>Witness Statement 4 September 2019 to the Royal Commission into Victoria’s Mental Health System</w:t>
      </w:r>
      <w:r w:rsidRPr="00030932">
        <w:rPr>
          <w:rFonts w:cstheme="minorHAnsi"/>
          <w:sz w:val="16"/>
          <w:szCs w:val="16"/>
        </w:rPr>
        <w:t xml:space="preserve"> (2019) 15 &lt;http://rcvmhs.archive.royalcommission.vic.gov.au/WIT.0001.0069.0001.pdf&gt;.</w:t>
      </w:r>
      <w:r w:rsidRPr="00030932">
        <w:rPr>
          <w:rFonts w:cstheme="minorHAnsi"/>
          <w:sz w:val="16"/>
          <w:szCs w:val="16"/>
        </w:rPr>
        <w:fldChar w:fldCharType="end"/>
      </w:r>
    </w:p>
  </w:footnote>
  <w:footnote w:id="176">
    <w:p w14:paraId="3D39276C" w14:textId="7FFC9067" w:rsidR="004C5C4F" w:rsidRPr="00030932" w:rsidRDefault="004C5C4F">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5A3579">
        <w:rPr>
          <w:rFonts w:cstheme="minorHAnsi"/>
          <w:sz w:val="16"/>
          <w:szCs w:val="16"/>
        </w:rPr>
        <w:instrText xml:space="preserve"> ADDIN ZOTERO_ITEM CSL_CITATION {"citationID":"NJ2eXPGJ","properties":{"formattedCitation":"Sharynne L Hamilton et al, \\uc0\\u8216{}\\uc0\\u8220{}We Don\\uc0\\u8217{}t Want You to Come in and Make a Decision for Us\\uc0\\u8221{}: Traversing Cultural Authority and Responsive Regulation in Australian Child Protection Systems\\uc0\\u8217{} [2021] {\\i{}Australian Journal of Social Issues}; Daryl Higgins et al, \\uc0\\u8216{}Experiences of People with Mental Ill-Health Involved in Family Court or Child Protection Processes: A Rapid Evidence Review\\uc0\\u8217{}; Royal Australian and New Zealand College of Psychiatry, \\uc0\\u8216{}Apology for the Role Played by Psychiatrists in the Stolen Generations\\uc0\\u8217{}, {\\i{}Royal Australian and New Zealand College of Psychiatry} &lt;https://www.ranzcp.org/news-policy/policy-and-advocacy/position-statements/apology-by-psychiatrists-stolen-generations&gt;.","plainCitation":"Sharynne L Hamilton et al, ‘“We Don’t Want You to Come in and Make a Decision for Us”: Traversing Cultural Authority and Responsive Regulation in Australian Child Protection Systems’ [2021] Australian Journal of Social Issues; Daryl Higgins et al, ‘Experiences of People with Mental Ill-Health Involved in Family Court or Child Protection Processes: A Rapid Evidence Review’; Royal Australian and New Zealand College of Psychiatry, ‘Apology for the Role Played by Psychiatrists in the Stolen Generations’, Royal Australian and New Zealand College of Psychiatry &lt;https://www.ranzcp.org/news-policy/policy-and-advocacy/position-statements/apology-by-psychiatrists-stolen-generations&gt;.","noteIndex":300},"citationItems":[{"id":554,"uris":["http://zotero.org/users/local/OLPofQUL/items/XAVZT8C3"],"itemData":{"id":554,"type":"article-journal","container-title":"Australian Journal of Social Issues","note":"ISBN: 0157-6321\npublisher: Wiley Online Library","title":"“We don’t want you to come in and make a decision for us”: Traversing cultural authority and responsive regulation in Australian child protection systems","author":[{"family":"Hamilton","given":"Sharynne L."},{"family":"Maslen","given":"Sarah"},{"family":"Farrant","given":"Brad"},{"family":"Ilich","given":"Nicole"},{"family":"Michie","given":"Carol"}],"issued":{"date-parts":[["2021"]]}}},{"id":1742,"uris":["http://zotero.org/users/local/OLPofQUL/items/HFDUCYED"],"itemData":{"id":1742,"type":"article-journal","note":"publisher: Institute of Child Protection Studies, Australian Catholic University","title":"Experiences of people with mental ill-health involved in family court or child protection processes: A rapid evidence review","author":[{"family":"Higgins","given":"Daryl"},{"family":"McDougall","given":"James"},{"family":"Trew","given":"Sebastian"},{"family":"Suomi","given":"Aino"}],"issued":{"date-parts":[["2021"]]}}},{"id":1769,"uris":["http://zotero.org/users/local/OLPofQUL/items/FIP7PNW2"],"itemData":{"id":1769,"type":"webpage","container-title":"Royal Australian and New Zealand College of Psychiatry","title":"Apology for the role played by psychiatrists in the Stolen Generations","URL":"https://www.ranzcp.org/news-policy/policy-and-advocacy/position-statements/apology-by-psychiatrists-stolen-generations","author":[{"family":"Royal Australian and New Zealand College of Psychiatry","given":""}],"accessed":{"date-parts":[["2022",10,31]]}}}],"schema":"https://github.com/citation-style-language/schema/raw/master/csl-citation.json"} </w:instrText>
      </w:r>
      <w:r w:rsidRPr="00030932">
        <w:rPr>
          <w:rFonts w:cstheme="minorHAnsi"/>
          <w:sz w:val="16"/>
          <w:szCs w:val="16"/>
        </w:rPr>
        <w:fldChar w:fldCharType="separate"/>
      </w:r>
      <w:r w:rsidR="0060160F" w:rsidRPr="00030932">
        <w:rPr>
          <w:rFonts w:cstheme="minorHAnsi"/>
          <w:sz w:val="16"/>
          <w:szCs w:val="16"/>
        </w:rPr>
        <w:t xml:space="preserve">Sharynne L Hamilton et al, ‘“We Don’t Want You to Come in and Make a Decision for Us”: Traversing Cultural Authority and Responsive Regulation in Australian Child Protection Systems’ [2021] </w:t>
      </w:r>
      <w:r w:rsidR="0060160F" w:rsidRPr="00030932">
        <w:rPr>
          <w:rFonts w:cstheme="minorHAnsi"/>
          <w:i/>
          <w:iCs/>
          <w:sz w:val="16"/>
          <w:szCs w:val="16"/>
        </w:rPr>
        <w:t>Australian Journal of Social Issues</w:t>
      </w:r>
      <w:r w:rsidR="0060160F" w:rsidRPr="00030932">
        <w:rPr>
          <w:rFonts w:cstheme="minorHAnsi"/>
          <w:sz w:val="16"/>
          <w:szCs w:val="16"/>
        </w:rPr>
        <w:t xml:space="preserve">; Daryl Higgins et al, ‘Experiences of People with Mental Ill-Health Involved in Family Court or Child Protection Processes: A Rapid Evidence Review’; Royal Australian and New Zealand College of Psychiatry, ‘Apology for the Role Played by Psychiatrists in the Stolen Generations’, </w:t>
      </w:r>
      <w:r w:rsidR="0060160F" w:rsidRPr="00030932">
        <w:rPr>
          <w:rFonts w:cstheme="minorHAnsi"/>
          <w:i/>
          <w:iCs/>
          <w:sz w:val="16"/>
          <w:szCs w:val="16"/>
        </w:rPr>
        <w:t>Royal Australian and New Zealand College of Psychiatry</w:t>
      </w:r>
      <w:r w:rsidR="0060160F" w:rsidRPr="00030932">
        <w:rPr>
          <w:rFonts w:cstheme="minorHAnsi"/>
          <w:sz w:val="16"/>
          <w:szCs w:val="16"/>
        </w:rPr>
        <w:t xml:space="preserve"> &lt;https://www.ranzcp.org/news-policy/policy-and-advocacy/position-statements/apology-by-psychiatrists-stolen-generations&gt;.</w:t>
      </w:r>
      <w:r w:rsidRPr="00030932">
        <w:rPr>
          <w:rFonts w:cstheme="minorHAnsi"/>
          <w:sz w:val="16"/>
          <w:szCs w:val="16"/>
        </w:rPr>
        <w:fldChar w:fldCharType="end"/>
      </w:r>
    </w:p>
  </w:footnote>
  <w:footnote w:id="177">
    <w:p w14:paraId="4144AC32" w14:textId="0BEE22DE" w:rsidR="00760CFC" w:rsidRPr="00030932" w:rsidRDefault="00760CFC" w:rsidP="00760CFC">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Similar decisions about restrictions on liberty are made in relation to bail, see: </w:t>
      </w:r>
      <w:r w:rsidRPr="00030932">
        <w:rPr>
          <w:rFonts w:cstheme="minorHAnsi"/>
          <w:i/>
          <w:sz w:val="16"/>
          <w:szCs w:val="16"/>
        </w:rPr>
        <w:t xml:space="preserve">Re Chafer-Smith; An application for Bail </w:t>
      </w:r>
      <w:r w:rsidRPr="00030932">
        <w:rPr>
          <w:rFonts w:cstheme="minorHAnsi"/>
          <w:sz w:val="16"/>
          <w:szCs w:val="16"/>
        </w:rPr>
        <w:t xml:space="preserve">[2014] VSC 51; </w:t>
      </w:r>
      <w:r w:rsidRPr="00030932">
        <w:rPr>
          <w:rFonts w:cstheme="minorHAnsi"/>
          <w:i/>
          <w:sz w:val="16"/>
          <w:szCs w:val="16"/>
        </w:rPr>
        <w:t xml:space="preserve">Re Application for Bail by Hume </w:t>
      </w:r>
      <w:r w:rsidRPr="00030932">
        <w:rPr>
          <w:rFonts w:cstheme="minorHAnsi"/>
          <w:sz w:val="16"/>
          <w:szCs w:val="16"/>
        </w:rPr>
        <w:t xml:space="preserve">p2015] VSC 695. </w:t>
      </w:r>
    </w:p>
  </w:footnote>
  <w:footnote w:id="178">
    <w:p w14:paraId="64C81CDA" w14:textId="40E3EF8F" w:rsidR="00E1268C" w:rsidRPr="00030932" w:rsidRDefault="00E1268C">
      <w:pPr>
        <w:pStyle w:val="FootnoteText"/>
        <w:rPr>
          <w:iCs/>
          <w:sz w:val="16"/>
          <w:szCs w:val="16"/>
        </w:rPr>
      </w:pPr>
      <w:r w:rsidRPr="00030932">
        <w:rPr>
          <w:rStyle w:val="FootnoteReference"/>
          <w:sz w:val="16"/>
          <w:szCs w:val="16"/>
        </w:rPr>
        <w:footnoteRef/>
      </w:r>
      <w:r w:rsidRPr="00030932">
        <w:rPr>
          <w:sz w:val="16"/>
          <w:szCs w:val="16"/>
        </w:rPr>
        <w:t xml:space="preserve"> </w:t>
      </w:r>
      <w:r w:rsidR="00996367" w:rsidRPr="00030932">
        <w:rPr>
          <w:sz w:val="16"/>
          <w:szCs w:val="16"/>
        </w:rPr>
        <w:t xml:space="preserve">In </w:t>
      </w:r>
      <w:r w:rsidR="00996367" w:rsidRPr="00030932">
        <w:rPr>
          <w:i/>
          <w:iCs/>
          <w:sz w:val="16"/>
          <w:szCs w:val="16"/>
        </w:rPr>
        <w:t>Cemino</w:t>
      </w:r>
      <w:r w:rsidR="00996367" w:rsidRPr="00030932">
        <w:rPr>
          <w:sz w:val="16"/>
          <w:szCs w:val="16"/>
        </w:rPr>
        <w:t xml:space="preserve"> the Supreme Court </w:t>
      </w:r>
      <w:r w:rsidR="00F02E9D" w:rsidRPr="00030932">
        <w:rPr>
          <w:sz w:val="16"/>
          <w:szCs w:val="16"/>
        </w:rPr>
        <w:t>held that a Magistrate acted unlawfully in refusing an Aboriginal man’s request to be heard by a Koori Court:</w:t>
      </w:r>
      <w:r w:rsidR="00996367" w:rsidRPr="00030932">
        <w:rPr>
          <w:sz w:val="16"/>
          <w:szCs w:val="16"/>
        </w:rPr>
        <w:t xml:space="preserve"> </w:t>
      </w:r>
      <w:r w:rsidR="00996367" w:rsidRPr="00030932">
        <w:rPr>
          <w:rFonts w:cstheme="minorHAnsi"/>
          <w:i/>
          <w:sz w:val="16"/>
          <w:szCs w:val="16"/>
        </w:rPr>
        <w:t>Cemino v Cannan</w:t>
      </w:r>
      <w:r w:rsidR="00996367" w:rsidRPr="00030932">
        <w:rPr>
          <w:rFonts w:cstheme="minorHAnsi"/>
          <w:sz w:val="16"/>
          <w:szCs w:val="16"/>
        </w:rPr>
        <w:t xml:space="preserve"> [2018] VSC 535</w:t>
      </w:r>
      <w:r w:rsidR="00996367" w:rsidRPr="00030932">
        <w:rPr>
          <w:rFonts w:cstheme="minorHAnsi"/>
          <w:i/>
          <w:sz w:val="16"/>
          <w:szCs w:val="16"/>
        </w:rPr>
        <w:t>.</w:t>
      </w:r>
      <w:r w:rsidR="00F02E9D" w:rsidRPr="00030932">
        <w:rPr>
          <w:rFonts w:cstheme="minorHAnsi"/>
          <w:i/>
          <w:sz w:val="16"/>
          <w:szCs w:val="16"/>
        </w:rPr>
        <w:t xml:space="preserve"> </w:t>
      </w:r>
      <w:r w:rsidR="00F02E9D" w:rsidRPr="00030932">
        <w:rPr>
          <w:rFonts w:cstheme="minorHAnsi"/>
          <w:iCs/>
          <w:sz w:val="16"/>
          <w:szCs w:val="16"/>
        </w:rPr>
        <w:t xml:space="preserve">It could be argued that similar considerations might be relevant for requests for Aboriginal </w:t>
      </w:r>
      <w:r w:rsidR="00B54BBE" w:rsidRPr="00030932">
        <w:rPr>
          <w:rFonts w:cstheme="minorHAnsi"/>
          <w:iCs/>
          <w:sz w:val="16"/>
          <w:szCs w:val="16"/>
        </w:rPr>
        <w:t>members on Mental Health Tribunal hearings where this is practicable.</w:t>
      </w:r>
    </w:p>
  </w:footnote>
  <w:footnote w:id="179">
    <w:p w14:paraId="0CC961F0" w14:textId="26888F62" w:rsidR="00B110E6" w:rsidRPr="00030932" w:rsidRDefault="00B110E6">
      <w:pPr>
        <w:pStyle w:val="FootnoteText"/>
        <w:rPr>
          <w:sz w:val="16"/>
          <w:szCs w:val="16"/>
        </w:rPr>
      </w:pPr>
      <w:r w:rsidRPr="00030932">
        <w:rPr>
          <w:rStyle w:val="FootnoteReference"/>
          <w:sz w:val="16"/>
          <w:szCs w:val="16"/>
        </w:rPr>
        <w:footnoteRef/>
      </w:r>
      <w:r w:rsidRPr="00030932">
        <w:rPr>
          <w:sz w:val="16"/>
          <w:szCs w:val="16"/>
        </w:rPr>
        <w:t xml:space="preserve"> ICCPR article 1 </w:t>
      </w:r>
      <w:r w:rsidR="00714660" w:rsidRPr="00030932">
        <w:rPr>
          <w:sz w:val="16"/>
          <w:szCs w:val="16"/>
        </w:rPr>
        <w:t xml:space="preserve">holds that ‘all peoples have the right of self-determination’, while article 23 of UNDRIP </w:t>
      </w:r>
      <w:r w:rsidR="00147508" w:rsidRPr="00030932">
        <w:rPr>
          <w:sz w:val="16"/>
          <w:szCs w:val="16"/>
        </w:rPr>
        <w:t xml:space="preserve">reaffirms the right of Indigenous peoples to participate in the decisions and policies that affect them, including healthcare: </w:t>
      </w:r>
      <w:r w:rsidR="00147508" w:rsidRPr="00030932">
        <w:rPr>
          <w:rFonts w:cstheme="minorHAnsi"/>
          <w:sz w:val="16"/>
          <w:szCs w:val="16"/>
        </w:rPr>
        <w:t>United Nations Declaration on the Rights of Indigenous Peoples, GA Res 61/295, A/RES/47/1 (2007).</w:t>
      </w:r>
    </w:p>
  </w:footnote>
  <w:footnote w:id="180">
    <w:p w14:paraId="65E42CE1" w14:textId="77777777" w:rsidR="006C31EB" w:rsidRPr="00030932" w:rsidRDefault="006C31EB" w:rsidP="006C31EB">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Pr="00030932">
        <w:rPr>
          <w:rFonts w:cstheme="minorHAnsi"/>
          <w:sz w:val="16"/>
          <w:szCs w:val="16"/>
        </w:rPr>
        <w:instrText xml:space="preserve"> ADDIN ZOTERO_ITEM CSL_CITATION {"citationID":"NvPgGnMF","properties":{"formattedCitation":"Odette Mazel, \\uc0\\u8216{}Self-Determination and the Right to Health: Australian Aboriginal Community Controlled Health Services\\uc0\\u8217{} (2016) 16(2) {\\i{}Human Rights Law Review} 323.","plainCitation":"Odette Mazel, ‘Self-Determination and the Right to Health: Australian Aboriginal Community Controlled Health Services’ (2016) 16(2) Human Rights Law Review 323.","noteIndex":302},"citationItems":[{"id":2020,"uris":["http://zotero.org/users/local/OLPofQUL/items/AX8CR7XR"],"itemData":{"id":2020,"type":"article-journal","container-title":"Human Rights Law Review","issue":"2","note":"ISBN: 1744-1021\npublisher: Oxford University Press","page":"323-355","title":"Self-determination and the right to health: Australian Aboriginal community controlled health services","volume":"16","author":[{"family":"Mazel","given":"Odette"}],"issued":{"date-parts":[["2016"]]}}}],"schema":"https://github.com/citation-style-language/schema/raw/master/csl-citation.json"} </w:instrText>
      </w:r>
      <w:r w:rsidRPr="00030932">
        <w:rPr>
          <w:rFonts w:cstheme="minorHAnsi"/>
          <w:sz w:val="16"/>
          <w:szCs w:val="16"/>
        </w:rPr>
        <w:fldChar w:fldCharType="separate"/>
      </w:r>
      <w:r w:rsidRPr="00030932">
        <w:rPr>
          <w:rFonts w:cstheme="minorHAnsi"/>
          <w:sz w:val="16"/>
          <w:szCs w:val="16"/>
        </w:rPr>
        <w:t xml:space="preserve">Odette Mazel, ‘Self-Determination and the Right to Health: Australian Aboriginal Community Controlled Health Services’ (2016) 16(2) </w:t>
      </w:r>
      <w:r w:rsidRPr="00030932">
        <w:rPr>
          <w:rFonts w:cstheme="minorHAnsi"/>
          <w:i/>
          <w:iCs/>
          <w:sz w:val="16"/>
          <w:szCs w:val="16"/>
        </w:rPr>
        <w:t>Human Rights Law Review</w:t>
      </w:r>
      <w:r w:rsidRPr="00030932">
        <w:rPr>
          <w:rFonts w:cstheme="minorHAnsi"/>
          <w:sz w:val="16"/>
          <w:szCs w:val="16"/>
        </w:rPr>
        <w:t xml:space="preserve"> 323.</w:t>
      </w:r>
      <w:r w:rsidRPr="00030932">
        <w:rPr>
          <w:rFonts w:cstheme="minorHAnsi"/>
          <w:sz w:val="16"/>
          <w:szCs w:val="16"/>
        </w:rPr>
        <w:fldChar w:fldCharType="end"/>
      </w:r>
    </w:p>
  </w:footnote>
  <w:footnote w:id="181">
    <w:p w14:paraId="2F779769" w14:textId="552913DB" w:rsidR="00A14209" w:rsidRPr="00030932" w:rsidRDefault="00A14209">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sz w:val="16"/>
          <w:szCs w:val="16"/>
        </w:rPr>
        <w:fldChar w:fldCharType="begin"/>
      </w:r>
      <w:r w:rsidR="005A3579">
        <w:rPr>
          <w:rFonts w:cstheme="minorHAnsi"/>
          <w:sz w:val="16"/>
          <w:szCs w:val="16"/>
        </w:rPr>
        <w:instrText xml:space="preserve"> ADDIN ZOTERO_ITEM CSL_CITATION {"citationID":"JoQhJN7f","properties":{"formattedCitation":"Australian Psychological Society (n 296); Royal Australian and New Zealand College of Psychiatry (n 300).","plainCitation":"Australian Psychological Society (n 296); Royal Australian and New Zealand College of Psychiatry (n 300).","noteIndex":305},"citationItems":[{"id":1761,"uris":["http://zotero.org/users/local/OLPofQUL/items/EGJUGABL"],"itemData":{"id":1761,"type":"webpage","container-title":"Australian Psychological Society","title":"Australian Psychological Society apologises to Aboriginal and Torres Strait Islander People","URL":"https://psychology.org.au/news/media_releases/15september2016","author":[{"family":"Australian Psychological Society","given":""}],"accessed":{"date-parts":[["2022",10,28]]},"issued":{"date-parts":[["2016",9,15]]}}},{"id":1769,"uris":["http://zotero.org/users/local/OLPofQUL/items/FIP7PNW2"],"itemData":{"id":1769,"type":"webpage","container-title":"Royal Australian and New Zealand College of Psychiatry","title":"Apology for the role played by psychiatrists in the Stolen Generations","URL":"https://www.ranzcp.org/news-policy/policy-and-advocacy/position-statements/apology-by-psychiatrists-stolen-generations","author":[{"family":"Royal Australian and New Zealand College of Psychiatry","given":""}],"accessed":{"date-parts":[["2022",10,31]]}}}],"schema":"https://github.com/citation-style-language/schema/raw/master/csl-citation.json"} </w:instrText>
      </w:r>
      <w:r w:rsidRPr="00030932">
        <w:rPr>
          <w:rFonts w:cstheme="minorHAnsi"/>
          <w:sz w:val="16"/>
          <w:szCs w:val="16"/>
        </w:rPr>
        <w:fldChar w:fldCharType="separate"/>
      </w:r>
      <w:r w:rsidR="005A3579" w:rsidRPr="005A3579">
        <w:rPr>
          <w:rFonts w:ascii="Calibri" w:hAnsi="Calibri" w:cs="Calibri"/>
          <w:sz w:val="16"/>
        </w:rPr>
        <w:t>Australian Psychological Society (n 296); Royal Australian and New Zealand College of Psychiatry (n 300).</w:t>
      </w:r>
      <w:r w:rsidRPr="00030932">
        <w:rPr>
          <w:rFonts w:cstheme="minorHAnsi"/>
          <w:sz w:val="16"/>
          <w:szCs w:val="16"/>
        </w:rPr>
        <w:fldChar w:fldCharType="end"/>
      </w:r>
    </w:p>
  </w:footnote>
  <w:footnote w:id="182">
    <w:p w14:paraId="17BB6550" w14:textId="77777777" w:rsidR="00307BE5" w:rsidRPr="00030932" w:rsidRDefault="00307BE5" w:rsidP="00307BE5">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rPr>
        <w:t xml:space="preserve">PJB v Melbourne Health (Patrick’s Case) </w:t>
      </w:r>
      <w:r w:rsidRPr="00030932">
        <w:rPr>
          <w:rFonts w:cstheme="minorHAnsi"/>
          <w:sz w:val="16"/>
          <w:szCs w:val="16"/>
        </w:rPr>
        <w:t>(2011) 39 VR 373 at [90].</w:t>
      </w:r>
    </w:p>
  </w:footnote>
  <w:footnote w:id="183">
    <w:p w14:paraId="0B2A5D7F" w14:textId="77777777" w:rsidR="00307BE5" w:rsidRPr="00030932" w:rsidRDefault="00307BE5" w:rsidP="00307BE5">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rPr>
        <w:t xml:space="preserve">Sporrong and Lönnroth v Sweden </w:t>
      </w:r>
      <w:r w:rsidRPr="00030932">
        <w:rPr>
          <w:rFonts w:cstheme="minorHAnsi"/>
          <w:sz w:val="16"/>
          <w:szCs w:val="16"/>
        </w:rPr>
        <w:t xml:space="preserve">(1982) 5 EHRR 35 at [63]; </w:t>
      </w:r>
      <w:r w:rsidRPr="00030932">
        <w:rPr>
          <w:rFonts w:cstheme="minorHAnsi"/>
          <w:i/>
          <w:iCs/>
          <w:sz w:val="16"/>
          <w:szCs w:val="16"/>
        </w:rPr>
        <w:t xml:space="preserve">PJB v Melbourne Health (Patrick’s Case) </w:t>
      </w:r>
      <w:r w:rsidRPr="00030932">
        <w:rPr>
          <w:rFonts w:cstheme="minorHAnsi"/>
          <w:sz w:val="16"/>
          <w:szCs w:val="16"/>
        </w:rPr>
        <w:t>(2011) 39 VR 373 at [89].</w:t>
      </w:r>
    </w:p>
  </w:footnote>
  <w:footnote w:id="184">
    <w:p w14:paraId="735183C9" w14:textId="77777777" w:rsidR="00307BE5" w:rsidRPr="00030932" w:rsidRDefault="00307BE5" w:rsidP="00307BE5">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rPr>
        <w:t xml:space="preserve">PJB v Melbourne Health (Patrick’s Case) </w:t>
      </w:r>
      <w:r w:rsidRPr="00030932">
        <w:rPr>
          <w:rFonts w:cstheme="minorHAnsi"/>
          <w:sz w:val="16"/>
          <w:szCs w:val="16"/>
        </w:rPr>
        <w:t>(2011) 39 VR 373 at [3].</w:t>
      </w:r>
    </w:p>
  </w:footnote>
  <w:footnote w:id="185">
    <w:p w14:paraId="1939AE22" w14:textId="77777777" w:rsidR="00307BE5" w:rsidRPr="00030932" w:rsidRDefault="00307BE5" w:rsidP="00307BE5">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rPr>
        <w:t xml:space="preserve">PJB v Melbourne Health (Patrick’s Case) </w:t>
      </w:r>
      <w:r w:rsidRPr="00030932">
        <w:rPr>
          <w:rFonts w:cstheme="minorHAnsi"/>
          <w:sz w:val="16"/>
          <w:szCs w:val="16"/>
        </w:rPr>
        <w:t>(2011) 39 VR 373 at [92].</w:t>
      </w:r>
    </w:p>
  </w:footnote>
  <w:footnote w:id="186">
    <w:p w14:paraId="54DA086C" w14:textId="77777777" w:rsidR="00307BE5" w:rsidRPr="00030932" w:rsidRDefault="00307BE5" w:rsidP="00307BE5">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rPr>
        <w:t xml:space="preserve">PJB v Melbourne Health (Patrick’s Case) </w:t>
      </w:r>
      <w:r w:rsidRPr="00030932">
        <w:rPr>
          <w:rFonts w:cstheme="minorHAnsi"/>
          <w:sz w:val="16"/>
          <w:szCs w:val="16"/>
        </w:rPr>
        <w:t>(2011) 39 VR 373 at [373].</w:t>
      </w:r>
    </w:p>
  </w:footnote>
  <w:footnote w:id="187">
    <w:p w14:paraId="58CC5DFA" w14:textId="5E40220C" w:rsidR="00E33440" w:rsidRPr="00030932" w:rsidRDefault="00E33440">
      <w:pPr>
        <w:pStyle w:val="FootnoteText"/>
        <w:rPr>
          <w:sz w:val="16"/>
          <w:szCs w:val="16"/>
        </w:rPr>
      </w:pPr>
      <w:r w:rsidRPr="00030932">
        <w:rPr>
          <w:rStyle w:val="FootnoteReference"/>
          <w:sz w:val="16"/>
          <w:szCs w:val="16"/>
        </w:rPr>
        <w:footnoteRef/>
      </w:r>
      <w:r w:rsidRPr="00030932">
        <w:rPr>
          <w:sz w:val="16"/>
          <w:szCs w:val="16"/>
        </w:rPr>
        <w:t xml:space="preserve"> </w:t>
      </w:r>
      <w:r w:rsidRPr="00030932">
        <w:rPr>
          <w:sz w:val="16"/>
          <w:szCs w:val="16"/>
        </w:rPr>
        <w:fldChar w:fldCharType="begin"/>
      </w:r>
      <w:r w:rsidRPr="00030932">
        <w:rPr>
          <w:sz w:val="16"/>
          <w:szCs w:val="16"/>
        </w:rPr>
        <w:instrText xml:space="preserve"> ADDIN ZOTERO_ITEM CSL_CITATION {"citationID":"I00qzW3h","properties":{"formattedCitation":"Monash Health, {\\i{}Secure Extended Care Unit (SECU) Unit 4} (Monash Health, 2019) 3 &lt;https://monashhealth.org/wp-content/uploads/2021/02/Secure-Extended-Care-Unit-SECU-Unit-4_v1-Jan-19.pdf&gt;.","plainCitation":"Monash Health, Secure Extended Care Unit (SECU) Unit 4 (Monash Health, 2019) 3 &lt;https://monashhealth.org/wp-content/uploads/2021/02/Secure-Extended-Care-Unit-SECU-Unit-4_v1-Jan-19.pdf&gt;.","noteIndex":309},"citationItems":[{"id":2141,"uris":["http://zotero.org/users/local/OLPofQUL/items/NIYI9GYP"],"itemData":{"id":2141,"type":"report","event-place":"Dandenong, VIC","publisher":"Monash Health","publisher-place":"Dandenong, VIC","title":"Secure Extended Care Unit (SECU) Unit 4","URL":"https://monashhealth.org/wp-content/uploads/2021/02/Secure-Extended-Care-Unit-SECU-Unit-4_v1-Jan-19.pdf","author":[{"family":"Monash Health","given":""}],"issued":{"date-parts":[["2019"]]}},"locator":"3","label":"page"}],"schema":"https://github.com/citation-style-language/schema/raw/master/csl-citation.json"} </w:instrText>
      </w:r>
      <w:r w:rsidRPr="00030932">
        <w:rPr>
          <w:sz w:val="16"/>
          <w:szCs w:val="16"/>
        </w:rPr>
        <w:fldChar w:fldCharType="separate"/>
      </w:r>
      <w:r w:rsidRPr="00030932">
        <w:rPr>
          <w:rFonts w:ascii="Calibri" w:hAnsi="Calibri" w:cs="Calibri"/>
          <w:sz w:val="16"/>
          <w:szCs w:val="16"/>
        </w:rPr>
        <w:t xml:space="preserve">Monash Health, </w:t>
      </w:r>
      <w:r w:rsidRPr="00030932">
        <w:rPr>
          <w:rFonts w:ascii="Calibri" w:hAnsi="Calibri" w:cs="Calibri"/>
          <w:i/>
          <w:iCs/>
          <w:sz w:val="16"/>
          <w:szCs w:val="16"/>
        </w:rPr>
        <w:t>Secure Extended Care Unit (SECU) Unit 4</w:t>
      </w:r>
      <w:r w:rsidRPr="00030932">
        <w:rPr>
          <w:rFonts w:ascii="Calibri" w:hAnsi="Calibri" w:cs="Calibri"/>
          <w:sz w:val="16"/>
          <w:szCs w:val="16"/>
        </w:rPr>
        <w:t xml:space="preserve"> (Monash Health, 2019) 3 &lt;https://monashhealth.org/wp-content/uploads/2021/02/Secure-Extended-Care-Unit-SECU-Unit-4_v1-Jan-19.pdf&gt;.</w:t>
      </w:r>
      <w:r w:rsidRPr="00030932">
        <w:rPr>
          <w:sz w:val="16"/>
          <w:szCs w:val="16"/>
        </w:rPr>
        <w:fldChar w:fldCharType="end"/>
      </w:r>
    </w:p>
  </w:footnote>
  <w:footnote w:id="188">
    <w:p w14:paraId="0DCA57B5" w14:textId="59C48295" w:rsidR="00444C84" w:rsidRPr="00030932" w:rsidRDefault="00444C84">
      <w:pPr>
        <w:pStyle w:val="FootnoteText"/>
        <w:rPr>
          <w:sz w:val="16"/>
          <w:szCs w:val="16"/>
        </w:rPr>
      </w:pPr>
      <w:r w:rsidRPr="00030932">
        <w:rPr>
          <w:rStyle w:val="FootnoteReference"/>
          <w:sz w:val="16"/>
          <w:szCs w:val="16"/>
        </w:rPr>
        <w:footnoteRef/>
      </w:r>
      <w:r w:rsidRPr="00030932">
        <w:rPr>
          <w:sz w:val="16"/>
          <w:szCs w:val="16"/>
        </w:rPr>
        <w:t xml:space="preserve"> </w:t>
      </w:r>
      <w:r w:rsidRPr="00030932">
        <w:rPr>
          <w:sz w:val="16"/>
          <w:szCs w:val="16"/>
        </w:rPr>
        <w:fldChar w:fldCharType="begin"/>
      </w:r>
      <w:r w:rsidR="001131D7" w:rsidRPr="00030932">
        <w:rPr>
          <w:sz w:val="16"/>
          <w:szCs w:val="16"/>
        </w:rPr>
        <w:instrText xml:space="preserve"> ADDIN ZOTERO_ITEM CSL_CITATION {"citationID":"i0rqaeQK","properties":{"formattedCitation":"Indigo Daya, \\uc0\\u8216{}Russian Dolls and Epistemic Crypts: A Lived Experience Reflection on Epistemic Injustice and Psychiatric Confinement\\uc0\\u8217{} (2022) 3(2) {\\i{}Incarceration} 26326663221103444; Maylea and Hirsch (n 65).","plainCitation":"Indigo Daya, ‘Russian Dolls and Epistemic Crypts: A Lived Experience Reflection on Epistemic Injustice and Psychiatric Confinement’ (2022) 3(2) Incarceration 26326663221103444; Maylea and Hirsch (n 65).","noteIndex":312},"citationItems":[{"id":1461,"uris":["http://zotero.org/users/local/OLPofQUL/items/4WXCTT5G"],"itemData":{"id":1461,"type":"article-journal","container-title":"Incarceration","issue":"2","note":"ISBN: 2632-6663\npublisher: SAGE Publications Sage UK: London, England","page":"26326663221103445","title":"Russian dolls and epistemic crypts: A lived experience reflection on epistemic injustice and psychiatric confinement","volume":"3","author":[{"family":"Daya","given":"Indigo"}],"issued":{"date-parts":[["2022"]]}}},{"id":114,"uris":["http://zotero.org/users/local/OLPofQUL/items/KR28Y2LJ"],"itemData":{"id":114,"type":"article-journal","container-title":"Alternative Law Journal","issue":"2","note":"ISBN: 1037-969X\npublisher: SAGE Publications Sage UK: London, England","page":"149-155","title":"The right to refuse: The Victorian mental health act 2014 and the convention on the rights of persons with disabilities","volume":"42","author":[{"family":"Maylea","given":"Chris"},{"family":"Hirsch","given":"Asher"}],"issued":{"date-parts":[["2017"]]}}}],"schema":"https://github.com/citation-style-language/schema/raw/master/csl-citation.json"} </w:instrText>
      </w:r>
      <w:r w:rsidRPr="00030932">
        <w:rPr>
          <w:sz w:val="16"/>
          <w:szCs w:val="16"/>
        </w:rPr>
        <w:fldChar w:fldCharType="separate"/>
      </w:r>
      <w:r w:rsidR="001131D7" w:rsidRPr="00030932">
        <w:rPr>
          <w:rFonts w:ascii="Calibri" w:hAnsi="Calibri" w:cs="Calibri"/>
          <w:sz w:val="16"/>
          <w:szCs w:val="16"/>
        </w:rPr>
        <w:t xml:space="preserve">Indigo Daya, ‘Russian Dolls and Epistemic Crypts: A Lived Experience Reflection on Epistemic Injustice and Psychiatric Confinement’ (2022) 3(2) </w:t>
      </w:r>
      <w:r w:rsidR="001131D7" w:rsidRPr="00030932">
        <w:rPr>
          <w:rFonts w:ascii="Calibri" w:hAnsi="Calibri" w:cs="Calibri"/>
          <w:i/>
          <w:iCs/>
          <w:sz w:val="16"/>
          <w:szCs w:val="16"/>
        </w:rPr>
        <w:t>Incarceration</w:t>
      </w:r>
      <w:r w:rsidR="001131D7" w:rsidRPr="00030932">
        <w:rPr>
          <w:rFonts w:ascii="Calibri" w:hAnsi="Calibri" w:cs="Calibri"/>
          <w:sz w:val="16"/>
          <w:szCs w:val="16"/>
        </w:rPr>
        <w:t xml:space="preserve"> 26326663221103444; Maylea and Hirsch (n 65).</w:t>
      </w:r>
      <w:r w:rsidRPr="00030932">
        <w:rPr>
          <w:sz w:val="16"/>
          <w:szCs w:val="16"/>
        </w:rPr>
        <w:fldChar w:fldCharType="end"/>
      </w:r>
    </w:p>
  </w:footnote>
  <w:footnote w:id="189">
    <w:p w14:paraId="1BC7C32B" w14:textId="77777777" w:rsidR="00A45A72" w:rsidRPr="00030932" w:rsidRDefault="00A45A72" w:rsidP="00A45A72">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Style w:val="Emphasis"/>
          <w:rFonts w:cstheme="minorHAnsi"/>
          <w:sz w:val="16"/>
          <w:szCs w:val="16"/>
          <w:shd w:val="clear" w:color="auto" w:fill="FFFFFF"/>
        </w:rPr>
        <w:t>Kracke v Mental Health Review Board (General) </w:t>
      </w:r>
      <w:r w:rsidRPr="00030932">
        <w:rPr>
          <w:rFonts w:cstheme="minorHAnsi"/>
          <w:sz w:val="16"/>
          <w:szCs w:val="16"/>
          <w:shd w:val="clear" w:color="auto" w:fill="FFFFFF"/>
        </w:rPr>
        <w:t>2009 VCAT 646 [664]–[665]; </w:t>
      </w:r>
      <w:r w:rsidRPr="00030932">
        <w:rPr>
          <w:rStyle w:val="Emphasis"/>
          <w:rFonts w:cstheme="minorHAnsi"/>
          <w:sz w:val="16"/>
          <w:szCs w:val="16"/>
          <w:shd w:val="clear" w:color="auto" w:fill="FFFFFF"/>
        </w:rPr>
        <w:t>Director of Public Prosecutions v Kaba</w:t>
      </w:r>
      <w:r w:rsidRPr="00030932">
        <w:rPr>
          <w:rFonts w:cstheme="minorHAnsi"/>
          <w:sz w:val="16"/>
          <w:szCs w:val="16"/>
          <w:shd w:val="clear" w:color="auto" w:fill="FFFFFF"/>
        </w:rPr>
        <w:t> (2014) 44 VR 526; [2014] VSC 52 [110].</w:t>
      </w:r>
    </w:p>
  </w:footnote>
  <w:footnote w:id="190">
    <w:p w14:paraId="5996FCEB" w14:textId="77777777" w:rsidR="00A45A72" w:rsidRPr="00030932" w:rsidRDefault="00A45A72" w:rsidP="00A45A72">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Style w:val="Emphasis"/>
          <w:rFonts w:cstheme="minorHAnsi"/>
          <w:sz w:val="16"/>
          <w:szCs w:val="16"/>
          <w:shd w:val="clear" w:color="auto" w:fill="FFFFFF"/>
        </w:rPr>
        <w:t>PJB v Melbourne Health</w:t>
      </w:r>
      <w:r w:rsidRPr="00030932">
        <w:rPr>
          <w:rFonts w:cstheme="minorHAnsi"/>
          <w:sz w:val="16"/>
          <w:szCs w:val="16"/>
          <w:shd w:val="clear" w:color="auto" w:fill="FFFFFF"/>
        </w:rPr>
        <w:t> (2011) 39 VR 373; [2011] VSC 327 [82]–[85];</w:t>
      </w:r>
      <w:r w:rsidRPr="00030932">
        <w:rPr>
          <w:rStyle w:val="Emphasis"/>
          <w:rFonts w:cstheme="minorHAnsi"/>
          <w:sz w:val="16"/>
          <w:szCs w:val="16"/>
          <w:shd w:val="clear" w:color="auto" w:fill="FFFFFF"/>
        </w:rPr>
        <w:t>Taha </w:t>
      </w:r>
      <w:r w:rsidRPr="00030932">
        <w:rPr>
          <w:rFonts w:cstheme="minorHAnsi"/>
          <w:sz w:val="16"/>
          <w:szCs w:val="16"/>
          <w:shd w:val="clear" w:color="auto" w:fill="FFFFFF"/>
        </w:rPr>
        <w:t>(</w:t>
      </w:r>
      <w:r w:rsidRPr="00030932">
        <w:rPr>
          <w:rStyle w:val="Emphasis"/>
          <w:rFonts w:cstheme="minorHAnsi"/>
          <w:sz w:val="16"/>
          <w:szCs w:val="16"/>
          <w:shd w:val="clear" w:color="auto" w:fill="FFFFFF"/>
        </w:rPr>
        <w:t>Vic Police Toll Enforcement v Taha</w:t>
      </w:r>
      <w:r w:rsidRPr="00030932">
        <w:rPr>
          <w:rFonts w:cstheme="minorHAnsi"/>
          <w:sz w:val="16"/>
          <w:szCs w:val="16"/>
          <w:shd w:val="clear" w:color="auto" w:fill="FFFFFF"/>
        </w:rPr>
        <w:t> (2013) 49 VR 1; [2013] VSCA 37 [199].</w:t>
      </w:r>
    </w:p>
  </w:footnote>
  <w:footnote w:id="191">
    <w:p w14:paraId="1071BB56" w14:textId="77777777" w:rsidR="00A45A72" w:rsidRPr="00030932" w:rsidRDefault="00A45A72" w:rsidP="00A45A72">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Style w:val="Emphasis"/>
          <w:rFonts w:cstheme="minorHAnsi"/>
          <w:sz w:val="16"/>
          <w:szCs w:val="16"/>
          <w:shd w:val="clear" w:color="auto" w:fill="FFFFFF"/>
        </w:rPr>
        <w:t>Re Kracke v Mental Health Review Board</w:t>
      </w:r>
      <w:r w:rsidRPr="00030932">
        <w:rPr>
          <w:rFonts w:cstheme="minorHAnsi"/>
          <w:sz w:val="16"/>
          <w:szCs w:val="16"/>
          <w:shd w:val="clear" w:color="auto" w:fill="FFFFFF"/>
        </w:rPr>
        <w:t> (2009) 29 VAR 1; [2009] VCAT 646 [761], [767], [769], [781].</w:t>
      </w:r>
    </w:p>
  </w:footnote>
  <w:footnote w:id="192">
    <w:p w14:paraId="762C7E4C" w14:textId="77777777" w:rsidR="00A45A72" w:rsidRPr="00030932" w:rsidRDefault="00A45A72" w:rsidP="00A45A72">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Style w:val="Emphasis"/>
          <w:rFonts w:cstheme="minorHAnsi"/>
          <w:sz w:val="16"/>
          <w:szCs w:val="16"/>
          <w:shd w:val="clear" w:color="auto" w:fill="FFFFFF"/>
        </w:rPr>
        <w:t>Antunovic v Dawson</w:t>
      </w:r>
      <w:r w:rsidRPr="00030932">
        <w:rPr>
          <w:rFonts w:cstheme="minorHAnsi"/>
          <w:sz w:val="16"/>
          <w:szCs w:val="16"/>
          <w:shd w:val="clear" w:color="auto" w:fill="FFFFFF"/>
        </w:rPr>
        <w:t> (2010) 30 VR 355; [2010] VSC 377 [135].</w:t>
      </w:r>
    </w:p>
  </w:footnote>
  <w:footnote w:id="193">
    <w:p w14:paraId="4844F94B" w14:textId="7A560CBB" w:rsidR="00D64794" w:rsidRPr="00030932" w:rsidRDefault="00D64794">
      <w:pPr>
        <w:pStyle w:val="FootnoteText"/>
        <w:rPr>
          <w:sz w:val="16"/>
          <w:szCs w:val="16"/>
        </w:rPr>
      </w:pPr>
      <w:r w:rsidRPr="00030932">
        <w:rPr>
          <w:rStyle w:val="FootnoteReference"/>
          <w:sz w:val="16"/>
          <w:szCs w:val="16"/>
        </w:rPr>
        <w:footnoteRef/>
      </w:r>
      <w:r w:rsidRPr="00030932">
        <w:rPr>
          <w:sz w:val="16"/>
          <w:szCs w:val="16"/>
        </w:rPr>
        <w:t xml:space="preserve"> </w:t>
      </w:r>
      <w:r w:rsidRPr="00030932">
        <w:rPr>
          <w:sz w:val="16"/>
          <w:szCs w:val="16"/>
        </w:rPr>
        <w:fldChar w:fldCharType="begin"/>
      </w:r>
      <w:r w:rsidR="00444C84" w:rsidRPr="00030932">
        <w:rPr>
          <w:sz w:val="16"/>
          <w:szCs w:val="16"/>
        </w:rPr>
        <w:instrText xml:space="preserve"> ADDIN ZOTERO_ITEM CSL_CITATION {"citationID":"uSGtOvQm","properties":{"formattedCitation":"Victoria Legal Aid (n 8); Maylea et al (n 33).","plainCitation":"Victoria Legal Aid (n 8); Maylea et al (n 33).","noteIndex":316},"citationItems":[{"id":56,"uris":["http://zotero.org/users/local/OLPofQUL/items/NAESJ9R5"],"itemData":{"id":56,"type":"report","event-place":"Victoria Legal Aid","publisher":"Victoria Legal Aid","publisher-place":"Victoria Legal Aid","title":"Your story, your say: Consumers' priority issues and solutions for the Royal Commission into Victoria's Mental Health System","URL":"https://www.legalaid.vic.gov.au/sites/www.legalaid.vic.gov.au/files/vla-your-story-your-say-report.pdf","author":[{"literal":"Victoria Legal Aid"}],"issued":{"date-parts":[["2020"]]}}},{"id":681,"uris":["http://zotero.org/users/local/OLPofQUL/items/K37PLPJH"],"itemData":{"id":681,"type":"article-journal","container-title":"International Journal of Law and Psychiatry","DOI":"101737","ISSN":"0160-2527","title":"Consumers’ experiences of rights-based mental health laws: Lessons from Victoria, Australia","URL":"https://doi.org/10.1016/j.ijlp.2021.101737.","volume":"78","author":[{"family":"Maylea","given":"Chris"},{"family":"Katterl","given":"Simon"},{"family":"Johnson","given":"Brendan"},{"family":"Alvarez-Varquez","given":"Susan"},{"family":"Hill","given":"Nicholas"},{"family":"Weller","given":"Penelope"}],"issued":{"date-parts":[["2021"]]}}}],"schema":"https://github.com/citation-style-language/schema/raw/master/csl-citation.json"} </w:instrText>
      </w:r>
      <w:r w:rsidRPr="00030932">
        <w:rPr>
          <w:sz w:val="16"/>
          <w:szCs w:val="16"/>
        </w:rPr>
        <w:fldChar w:fldCharType="separate"/>
      </w:r>
      <w:r w:rsidR="00356F28" w:rsidRPr="00030932">
        <w:rPr>
          <w:rFonts w:ascii="Calibri" w:hAnsi="Calibri" w:cs="Calibri"/>
          <w:sz w:val="16"/>
          <w:szCs w:val="16"/>
        </w:rPr>
        <w:t>Victoria Legal Aid (n 8); Maylea et al (n 33).</w:t>
      </w:r>
      <w:r w:rsidRPr="00030932">
        <w:rPr>
          <w:sz w:val="16"/>
          <w:szCs w:val="16"/>
        </w:rPr>
        <w:fldChar w:fldCharType="end"/>
      </w:r>
    </w:p>
  </w:footnote>
  <w:footnote w:id="194">
    <w:p w14:paraId="5B20A594" w14:textId="32228988" w:rsidR="008D3871" w:rsidRPr="00030932" w:rsidRDefault="008D3871">
      <w:pPr>
        <w:pStyle w:val="FootnoteText"/>
        <w:rPr>
          <w:sz w:val="16"/>
          <w:szCs w:val="16"/>
        </w:rPr>
      </w:pPr>
      <w:r w:rsidRPr="00030932">
        <w:rPr>
          <w:rStyle w:val="FootnoteReference"/>
          <w:sz w:val="16"/>
          <w:szCs w:val="16"/>
        </w:rPr>
        <w:footnoteRef/>
      </w:r>
      <w:r w:rsidRPr="00030932">
        <w:rPr>
          <w:sz w:val="16"/>
          <w:szCs w:val="16"/>
        </w:rPr>
        <w:t xml:space="preserve"> </w:t>
      </w:r>
      <w:r w:rsidRPr="00030932">
        <w:rPr>
          <w:sz w:val="16"/>
          <w:szCs w:val="16"/>
        </w:rPr>
        <w:fldChar w:fldCharType="begin"/>
      </w:r>
      <w:r w:rsidR="00E33440" w:rsidRPr="00030932">
        <w:rPr>
          <w:sz w:val="16"/>
          <w:szCs w:val="16"/>
        </w:rPr>
        <w:instrText xml:space="preserve"> ADDIN ZOTERO_ITEM CSL_CITATION {"citationID":"3Rtwx7rJ","properties":{"formattedCitation":"Simon Katterl and Chris Maylea, \\uc0\\u8216{}Keeping Human Rights in Mind: Embedding the Victorian Charter of Human Rights into the Public Mental Health System\\uc0\\u8217{} (2021) 27(1) {\\i{}Australian Journal of Human Rights} 58.","plainCitation":"Simon Katterl and Chris Maylea, ‘Keeping Human Rights in Mind: Embedding the Victorian Charter of Human Rights into the Public Mental Health System’ (2021) 27(1) Australian Journal of Human Rights 58.","noteIndex":316},"citationItems":[{"id":1018,"uris":["http://zotero.org/users/local/OLPofQUL/items/KHIXZS57"],"itemData":{"id":1018,"type":"article-journal","container-title":"Australian Journal of Human Rights","issue":"1","note":"ISBN: 1323-238X\npublisher: Taylor &amp; Francis","page":"58-77","title":"Keeping human rights in mind: embedding the Victorian Charter of Human Rights into the public mental health system","volume":"27","author":[{"family":"Katterl","given":"Simon"},{"family":"Maylea","given":"Chris"}],"issued":{"date-parts":[["2021"]]}}}],"schema":"https://github.com/citation-style-language/schema/raw/master/csl-citation.json"} </w:instrText>
      </w:r>
      <w:r w:rsidRPr="00030932">
        <w:rPr>
          <w:sz w:val="16"/>
          <w:szCs w:val="16"/>
        </w:rPr>
        <w:fldChar w:fldCharType="separate"/>
      </w:r>
      <w:r w:rsidRPr="00030932">
        <w:rPr>
          <w:rFonts w:ascii="Calibri" w:hAnsi="Calibri" w:cs="Calibri"/>
          <w:sz w:val="16"/>
          <w:szCs w:val="16"/>
        </w:rPr>
        <w:t xml:space="preserve">Simon Katterl and Chris Maylea, ‘Keeping Human Rights in Mind: Embedding the Victorian Charter of Human Rights into the Public Mental Health System’ (2021) 27(1) </w:t>
      </w:r>
      <w:r w:rsidRPr="00030932">
        <w:rPr>
          <w:rFonts w:ascii="Calibri" w:hAnsi="Calibri" w:cs="Calibri"/>
          <w:i/>
          <w:iCs/>
          <w:sz w:val="16"/>
          <w:szCs w:val="16"/>
        </w:rPr>
        <w:t>Australian Journal of Human Rights</w:t>
      </w:r>
      <w:r w:rsidRPr="00030932">
        <w:rPr>
          <w:rFonts w:ascii="Calibri" w:hAnsi="Calibri" w:cs="Calibri"/>
          <w:sz w:val="16"/>
          <w:szCs w:val="16"/>
        </w:rPr>
        <w:t xml:space="preserve"> 58.</w:t>
      </w:r>
      <w:r w:rsidRPr="00030932">
        <w:rPr>
          <w:sz w:val="16"/>
          <w:szCs w:val="16"/>
        </w:rPr>
        <w:fldChar w:fldCharType="end"/>
      </w:r>
    </w:p>
  </w:footnote>
  <w:footnote w:id="195">
    <w:p w14:paraId="1A3C8C9D" w14:textId="13826015" w:rsidR="001E5BE2" w:rsidRPr="00030932" w:rsidRDefault="001E5BE2">
      <w:pPr>
        <w:pStyle w:val="FootnoteText"/>
        <w:rPr>
          <w:sz w:val="16"/>
          <w:szCs w:val="16"/>
        </w:rPr>
      </w:pPr>
      <w:r w:rsidRPr="00030932">
        <w:rPr>
          <w:rStyle w:val="FootnoteReference"/>
          <w:sz w:val="16"/>
          <w:szCs w:val="16"/>
        </w:rPr>
        <w:footnoteRef/>
      </w:r>
      <w:r w:rsidRPr="00030932">
        <w:rPr>
          <w:sz w:val="16"/>
          <w:szCs w:val="16"/>
        </w:rPr>
        <w:t xml:space="preserve"> </w:t>
      </w:r>
      <w:r w:rsidRPr="00030932">
        <w:rPr>
          <w:sz w:val="16"/>
          <w:szCs w:val="16"/>
        </w:rPr>
        <w:fldChar w:fldCharType="begin"/>
      </w:r>
      <w:r w:rsidR="005A3579">
        <w:rPr>
          <w:sz w:val="16"/>
          <w:szCs w:val="16"/>
        </w:rPr>
        <w:instrText xml:space="preserve"> ADDIN ZOTERO_ITEM CSL_CITATION {"citationID":"QjhGiRj7","properties":{"formattedCitation":"Simon Katterl, \\uc0\\u8216{}Regulatory Oversight, Mental Health and Human Rights\\uc0\\u8217{} (2021) 46(2) {\\i{}Alternative Law Journal} 149; Simon Katterl and Sharon Friel, \\uc0\\u8216{}Regulating Rights: Developing a Human Rights and Mental Health Regulatory Framework\\uc0\\u8217{} in Kay Wilson, Yvette Maker and Piers Gooding (eds), {\\i{}The Future of Mental Health, Disability and Criminal Law} (Routledge, 2023); Simon Katterl, \\uc0\\u8216{}Preventing and Responding to Harm: Restorative and Responsive Regulation in Victoria, Australia\\uc0\\u8217{} (2022) Early View {\\i{}Journal of Social Issues}; Adeshola Ore and Melissa Davey, \\uc0\\u8216{}No Action Taken against Victorian Mental Health Services despite More than 12,000 Complaints\\uc0\\u8217{}, {\\i{}The Guardian} (online, 25 May 2022) &lt;https://www.theguardian.com/society/2022/may/26/no-action-taken-against-victorian-mental-health-services-despite-more-than-12000-complaints&gt;; Christopher Maylea and Christopher James Ryan, \\uc0\\u8216{}Decision-Making Capacity and the Victorian Mental Health Tribunal\\uc0\\u8217{} [2017] (23) {\\i{}International Journal of Mental Health and Capacity Law} 87; Castan Centre for Human Rights Law, {\\i{}Analysis of Mental Health Tribunal Engagement with Human Rights} (Castan Centre for Human Rights Law, November 2021) &lt;https://static1.squarespace.com/static/6004b9776f0b7e66aaa48c0a/t/638d2b08061ba10438906325/1670195979299/VMIAC+Team+CP4+-+Final+Report.pdf&gt;.","plainCitation":"Simon Katterl, ‘Regulatory Oversight, Mental Health and Human Rights’ (2021) 46(2) Alternative Law Journal 149; Simon Katterl and Sharon Friel, ‘Regulating Rights: Developing a Human Rights and Mental Health Regulatory Framework’ in Kay Wilson, Yvette Maker and Piers Gooding (eds), The Future of Mental Health, Disability and Criminal Law (Routledge, 2023); Simon Katterl, ‘Preventing and Responding to Harm: Restorative and Responsive Regulation in Victoria, Australia’ (2022) Early View Journal of Social Issues; Adeshola Ore and Melissa Davey, ‘No Action Taken against Victorian Mental Health Services despite More than 12,000 Complaints’, The Guardian (online, 25 May 2022) &lt;https://www.theguardian.com/society/2022/may/26/no-action-taken-against-victorian-mental-health-services-despite-more-than-12000-complaints&gt;; Christopher Maylea and Christopher James Ryan, ‘Decision-Making Capacity and the Victorian Mental Health Tribunal’ [2017] (23) International Journal of Mental Health and Capacity Law 87; Castan Centre for Human Rights Law, Analysis of Mental Health Tribunal Engagement with Human Rights (Castan Centre for Human Rights Law, November 2021) &lt;https://static1.squarespace.com/static/6004b9776f0b7e66aaa48c0a/t/638d2b08061ba10438906325/1670195979299/VMIAC+Team+CP4+-+Final+Report.pdf&gt;.","noteIndex":320},"citationItems":[{"id":297,"uris":["http://zotero.org/users/local/OLPofQUL/items/WYHTD6FU"],"itemData":{"id":297,"type":"article-journal","container-title":"Alternative Law Journal","DOI":"1037969X211013123","issue":"2","note":"ISBN: 1037-969X\npublisher: SAGE Publications Sage UK: London, England","page":"149-156","title":"Regulatory oversight, mental health and human rights","volume":"46","author":[{"family":"Katterl","given":"Simon"}],"issued":{"date-parts":[["2021"]]}}},{"id":1589,"uris":["http://zotero.org/users/local/OLPofQUL/items/KQXZPD89"],"itemData":{"id":1589,"type":"chapter","container-title":"The Future of Mental Health, Disability and Criminal Law","publisher":"Routledge","title":"Regulating Rights: Developing a Human Rights and Mental Health Regulatory Framework","author":[{"family":"Katterl","given":"Simon"},{"family":"Friel","given":"Sharon"}],"editor":[{"family":"Wilson","given":"Kay"},{"family":"Maker","given":"Yvette"},{"family":"Gooding","given":"Piers"}],"issued":{"date-parts":[["2023"]],"season":"forthcoming"}}},{"id":1474,"uris":["http://zotero.org/users/local/OLPofQUL/items/YSWRPAR2"],"itemData":{"id":1474,"type":"article-journal","container-title":"Journal of Social Issues","title":"Preventing and responding to harm: restorative and responsive regulation in Victoria, Australia","volume":"Early View","author":[{"family":"Katterl","given":"Simon"}],"issued":{"date-parts":[["2022"]]}}},{"id":1432,"uris":["http://zotero.org/users/local/OLPofQUL/items/NREA993R"],"itemData":{"id":1432,"type":"article-newspaper","abstract":"Exclusive: reports from state’s mental health regulator show some services don’t hand over complaint outcome data","container-title":"The Guardian","ISSN":"0261-3077","language":"en-GB","section":"Society","source":"The Guardian","title":"No action taken against Victorian mental health services despite more than 12,000 complaints","URL":"https://www.theguardian.com/society/2022/may/26/no-action-taken-against-victorian-mental-health-services-despite-more-than-12000-complaints","author":[{"family":"Ore","given":"Adeshola"},{"family":"Davey","given":"Melissa"}],"accessed":{"date-parts":[["2022",5,27]]},"issued":{"date-parts":[["2022",5,25]]}}},{"id":1100,"uris":["http://zotero.org/users/local/OLPofQUL/items/AK5EV75I"],"itemData":{"id":1100,"type":"article-journal","container-title":"International Journal of Mental Health and Capacity Law","issue":"23","note":"ISBN: 2056-3922","page":"87-108","title":"Decision-making capacity and the Victorian Mental Health Tribunal","author":[{"family":"Maylea","given":"Christopher"},{"family":"Ryan","given":"Christopher James"}],"issued":{"date-parts":[["2017"]]}}},{"id":1323,"uris":["http://zotero.org/users/local/OLPofQUL/items/83LGGT6A"],"itemData":{"id":1323,"type":"report","publisher":"Castan Centre for Human Rights Law","title":"Analysis of Mental Health Tribunal Engagement with Human Rights","URL":"https://static1.squarespace.com/static/6004b9776f0b7e66aaa48c0a/t/638d2b08061ba10438906325/1670195979299/VMIAC+Team+CP4+-+Final+Report.pdf","author":[{"family":"Castan Centre for Human Rights Law","given":""}],"issued":{"date-parts":[["2021",11]]}}}],"schema":"https://github.com/citation-style-language/schema/raw/master/csl-citation.json"} </w:instrText>
      </w:r>
      <w:r w:rsidRPr="00030932">
        <w:rPr>
          <w:sz w:val="16"/>
          <w:szCs w:val="16"/>
        </w:rPr>
        <w:fldChar w:fldCharType="separate"/>
      </w:r>
      <w:r w:rsidRPr="00030932">
        <w:rPr>
          <w:rFonts w:ascii="Calibri" w:hAnsi="Calibri" w:cs="Calibri"/>
          <w:sz w:val="16"/>
          <w:szCs w:val="16"/>
        </w:rPr>
        <w:t xml:space="preserve">Simon Katterl, ‘Regulatory Oversight, Mental Health and Human Rights’ (2021) 46(2) </w:t>
      </w:r>
      <w:r w:rsidRPr="00030932">
        <w:rPr>
          <w:rFonts w:ascii="Calibri" w:hAnsi="Calibri" w:cs="Calibri"/>
          <w:i/>
          <w:iCs/>
          <w:sz w:val="16"/>
          <w:szCs w:val="16"/>
        </w:rPr>
        <w:t>Alternative Law Journal</w:t>
      </w:r>
      <w:r w:rsidRPr="00030932">
        <w:rPr>
          <w:rFonts w:ascii="Calibri" w:hAnsi="Calibri" w:cs="Calibri"/>
          <w:sz w:val="16"/>
          <w:szCs w:val="16"/>
        </w:rPr>
        <w:t xml:space="preserve"> 149; Simon Katterl and Sharon Friel, ‘Regulating Rights: Developing a Human Rights and Mental Health Regulatory Framework’ in Kay Wilson, Yvette Maker and Piers Gooding (eds), </w:t>
      </w:r>
      <w:r w:rsidRPr="00030932">
        <w:rPr>
          <w:rFonts w:ascii="Calibri" w:hAnsi="Calibri" w:cs="Calibri"/>
          <w:i/>
          <w:iCs/>
          <w:sz w:val="16"/>
          <w:szCs w:val="16"/>
        </w:rPr>
        <w:t>The Future of Mental Health, Disability and Criminal Law</w:t>
      </w:r>
      <w:r w:rsidRPr="00030932">
        <w:rPr>
          <w:rFonts w:ascii="Calibri" w:hAnsi="Calibri" w:cs="Calibri"/>
          <w:sz w:val="16"/>
          <w:szCs w:val="16"/>
        </w:rPr>
        <w:t xml:space="preserve"> (Routledge, 2023); Simon Katterl, ‘Preventing and Responding to Harm: Restorative and Responsive Regulation in Victoria, Australia’ (2022) Early View </w:t>
      </w:r>
      <w:r w:rsidRPr="00030932">
        <w:rPr>
          <w:rFonts w:ascii="Calibri" w:hAnsi="Calibri" w:cs="Calibri"/>
          <w:i/>
          <w:iCs/>
          <w:sz w:val="16"/>
          <w:szCs w:val="16"/>
        </w:rPr>
        <w:t>Journal of Social Issues</w:t>
      </w:r>
      <w:r w:rsidRPr="00030932">
        <w:rPr>
          <w:rFonts w:ascii="Calibri" w:hAnsi="Calibri" w:cs="Calibri"/>
          <w:sz w:val="16"/>
          <w:szCs w:val="16"/>
        </w:rPr>
        <w:t xml:space="preserve">; Adeshola Ore and Melissa Davey, ‘No Action Taken against Victorian Mental Health Services despite More than 12,000 Complaints’, </w:t>
      </w:r>
      <w:r w:rsidRPr="00030932">
        <w:rPr>
          <w:rFonts w:ascii="Calibri" w:hAnsi="Calibri" w:cs="Calibri"/>
          <w:i/>
          <w:iCs/>
          <w:sz w:val="16"/>
          <w:szCs w:val="16"/>
        </w:rPr>
        <w:t>The Guardian</w:t>
      </w:r>
      <w:r w:rsidRPr="00030932">
        <w:rPr>
          <w:rFonts w:ascii="Calibri" w:hAnsi="Calibri" w:cs="Calibri"/>
          <w:sz w:val="16"/>
          <w:szCs w:val="16"/>
        </w:rPr>
        <w:t xml:space="preserve"> (online, 25 May 2022) &lt;https://www.theguardian.com/society/2022/may/26/no-action-taken-against-victorian-mental-health-services-despite-more-than-12000-complaints&gt;; Christopher Maylea and Christopher James Ryan, ‘Decision-Making Capacity and the Victorian Mental Health Tribunal’ [2017] (23) </w:t>
      </w:r>
      <w:r w:rsidRPr="00030932">
        <w:rPr>
          <w:rFonts w:ascii="Calibri" w:hAnsi="Calibri" w:cs="Calibri"/>
          <w:i/>
          <w:iCs/>
          <w:sz w:val="16"/>
          <w:szCs w:val="16"/>
        </w:rPr>
        <w:t>International Journal of Mental Health and Capacity Law</w:t>
      </w:r>
      <w:r w:rsidRPr="00030932">
        <w:rPr>
          <w:rFonts w:ascii="Calibri" w:hAnsi="Calibri" w:cs="Calibri"/>
          <w:sz w:val="16"/>
          <w:szCs w:val="16"/>
        </w:rPr>
        <w:t xml:space="preserve"> 87; Castan Centre for Human Rights Law, </w:t>
      </w:r>
      <w:r w:rsidRPr="00030932">
        <w:rPr>
          <w:rFonts w:ascii="Calibri" w:hAnsi="Calibri" w:cs="Calibri"/>
          <w:i/>
          <w:iCs/>
          <w:sz w:val="16"/>
          <w:szCs w:val="16"/>
        </w:rPr>
        <w:t>Analysis of Mental Health Tribunal Engagement with Human Rights</w:t>
      </w:r>
      <w:r w:rsidRPr="00030932">
        <w:rPr>
          <w:rFonts w:ascii="Calibri" w:hAnsi="Calibri" w:cs="Calibri"/>
          <w:sz w:val="16"/>
          <w:szCs w:val="16"/>
        </w:rPr>
        <w:t xml:space="preserve"> (Castan Centre for Human Rights Law, November 2021) &lt;https://static1.squarespace.com/static/6004b9776f0b7e66aaa48c0a/t/638d2b08061ba10438906325/1670195979299/VMIAC+Team+CP4+-+Final+Report.pdf&gt;.</w:t>
      </w:r>
      <w:r w:rsidRPr="00030932">
        <w:rPr>
          <w:sz w:val="16"/>
          <w:szCs w:val="16"/>
        </w:rPr>
        <w:fldChar w:fldCharType="end"/>
      </w:r>
    </w:p>
  </w:footnote>
  <w:footnote w:id="196">
    <w:p w14:paraId="497C528E" w14:textId="5F1E9F35" w:rsidR="007B434F" w:rsidRPr="00030932" w:rsidRDefault="007B434F" w:rsidP="007B434F">
      <w:pPr>
        <w:pStyle w:val="FootnoteText"/>
        <w:rPr>
          <w:rFonts w:cstheme="minorHAnsi"/>
          <w:color w:val="FFFFFF" w:themeColor="background1"/>
          <w:sz w:val="16"/>
          <w:szCs w:val="16"/>
        </w:rPr>
      </w:pPr>
      <w:r w:rsidRPr="00846071">
        <w:rPr>
          <w:rStyle w:val="FootnoteReference"/>
          <w:color w:val="FFFFFF" w:themeColor="background1"/>
          <w:sz w:val="16"/>
          <w:szCs w:val="16"/>
        </w:rPr>
        <w:footnoteRef/>
      </w:r>
      <w:r w:rsidRPr="004A0E9D">
        <w:rPr>
          <w:rFonts w:cstheme="minorHAnsi"/>
          <w:color w:val="FFFFFF" w:themeColor="background1"/>
          <w:sz w:val="16"/>
          <w:szCs w:val="16"/>
        </w:rPr>
        <w:t xml:space="preserve"> </w:t>
      </w:r>
      <w:r w:rsidRPr="00030932">
        <w:rPr>
          <w:rFonts w:cstheme="minorHAnsi"/>
          <w:color w:val="FFFFFF" w:themeColor="background1"/>
          <w:sz w:val="16"/>
          <w:szCs w:val="16"/>
        </w:rPr>
        <w:t>Victoria,</w:t>
      </w:r>
      <w:r w:rsidRPr="00030932">
        <w:rPr>
          <w:rFonts w:cstheme="minorHAnsi"/>
          <w:i/>
          <w:iCs/>
          <w:color w:val="FFFFFF" w:themeColor="background1"/>
          <w:sz w:val="16"/>
          <w:szCs w:val="16"/>
        </w:rPr>
        <w:t xml:space="preserve"> </w:t>
      </w:r>
      <w:r w:rsidRPr="00030932">
        <w:rPr>
          <w:rFonts w:cstheme="minorHAnsi"/>
          <w:color w:val="FFFFFF" w:themeColor="background1"/>
          <w:sz w:val="16"/>
          <w:szCs w:val="16"/>
        </w:rPr>
        <w:fldChar w:fldCharType="begin"/>
      </w:r>
      <w:r w:rsidR="00E33440" w:rsidRPr="00030932">
        <w:rPr>
          <w:rFonts w:cstheme="minorHAnsi"/>
          <w:color w:val="FFFFFF" w:themeColor="background1"/>
          <w:sz w:val="16"/>
          <w:szCs w:val="16"/>
        </w:rPr>
        <w:instrText xml:space="preserve"> ADDIN ZOTERO_ITEM CSL_CITATION {"citationID":"yVJuz7Jh","properties":{"formattedCitation":"{\\i{}Parliamentary Debates, Legislative Assembly (Statement of Compatibility)} {\\i{}2014} 458, 461\\uc0\\u8211{}462.","plainCitation":"Parliamentary Debates, Legislative Assembly (Statement of Compatibility) 2014 458, 461–462.","dontUpdate":true,"noteIndex":318},"citationItems":[{"id":341,"uris":["http://zotero.org/users/local/OLPofQUL/items/5T4NR76X"],"itemData":{"id":341,"type":"legislation","page":"458","title":"Parliamentary Debates, Legislative Assembly (Statement of Compatibility)","author":[{"family":"Wooldridge","given":"Mary"}],"issued":{"date-parts":[["2014",2,20]]}},"locator":"461-462","label":"page"}],"schema":"https://github.com/citation-style-language/schema/raw/master/csl-citation.json"} </w:instrText>
      </w:r>
      <w:r w:rsidRPr="00030932">
        <w:rPr>
          <w:rFonts w:cstheme="minorHAnsi"/>
          <w:color w:val="FFFFFF" w:themeColor="background1"/>
          <w:sz w:val="16"/>
          <w:szCs w:val="16"/>
        </w:rPr>
        <w:fldChar w:fldCharType="separate"/>
      </w:r>
      <w:r w:rsidRPr="00030932">
        <w:rPr>
          <w:rFonts w:cstheme="minorHAnsi"/>
          <w:i/>
          <w:iCs/>
          <w:color w:val="FFFFFF" w:themeColor="background1"/>
          <w:sz w:val="16"/>
          <w:szCs w:val="16"/>
        </w:rPr>
        <w:t xml:space="preserve">Parliamentary Debates, </w:t>
      </w:r>
      <w:r w:rsidRPr="00030932">
        <w:rPr>
          <w:rFonts w:cstheme="minorHAnsi"/>
          <w:color w:val="FFFFFF" w:themeColor="background1"/>
          <w:sz w:val="16"/>
          <w:szCs w:val="16"/>
        </w:rPr>
        <w:t>Legislative Assembly (Statement of Compatibility) 18 February 2014, 461–462.</w:t>
      </w:r>
      <w:r w:rsidRPr="00030932">
        <w:rPr>
          <w:rFonts w:cstheme="minorHAnsi"/>
          <w:color w:val="FFFFFF" w:themeColor="background1"/>
          <w:sz w:val="16"/>
          <w:szCs w:val="16"/>
        </w:rPr>
        <w:fldChar w:fldCharType="end"/>
      </w:r>
    </w:p>
  </w:footnote>
  <w:footnote w:id="197">
    <w:p w14:paraId="4177F95D" w14:textId="77777777" w:rsidR="007B434F" w:rsidRPr="00030932" w:rsidRDefault="007B434F" w:rsidP="007B434F">
      <w:pPr>
        <w:pStyle w:val="FootnoteText"/>
        <w:rPr>
          <w:rFonts w:cstheme="minorHAnsi"/>
          <w:color w:val="FFFFFF" w:themeColor="background1"/>
          <w:sz w:val="16"/>
          <w:szCs w:val="16"/>
        </w:rPr>
      </w:pPr>
      <w:r w:rsidRPr="00846071">
        <w:rPr>
          <w:rStyle w:val="FootnoteReference"/>
          <w:color w:val="FFFFFF" w:themeColor="background1"/>
          <w:sz w:val="16"/>
          <w:szCs w:val="16"/>
        </w:rPr>
        <w:footnoteRef/>
      </w:r>
      <w:r w:rsidRPr="004A0E9D">
        <w:rPr>
          <w:rFonts w:cstheme="minorHAnsi"/>
          <w:color w:val="FFFFFF" w:themeColor="background1"/>
          <w:sz w:val="16"/>
          <w:szCs w:val="16"/>
        </w:rPr>
        <w:t xml:space="preserve"> </w:t>
      </w:r>
      <w:r w:rsidRPr="00030932">
        <w:rPr>
          <w:rFonts w:cstheme="minorHAnsi"/>
          <w:color w:val="FFFFFF" w:themeColor="background1"/>
          <w:sz w:val="16"/>
          <w:szCs w:val="16"/>
        </w:rPr>
        <w:t xml:space="preserve">Victoria, </w:t>
      </w:r>
      <w:r w:rsidRPr="00030932">
        <w:rPr>
          <w:rFonts w:cstheme="minorHAnsi"/>
          <w:i/>
          <w:iCs/>
          <w:color w:val="FFFFFF" w:themeColor="background1"/>
          <w:sz w:val="16"/>
          <w:szCs w:val="16"/>
        </w:rPr>
        <w:t>Parliamentary Debates</w:t>
      </w:r>
      <w:r w:rsidRPr="00030932">
        <w:rPr>
          <w:rFonts w:cstheme="minorHAnsi"/>
          <w:color w:val="FFFFFF" w:themeColor="background1"/>
          <w:sz w:val="16"/>
          <w:szCs w:val="16"/>
        </w:rPr>
        <w:t>, Legislative Assembly (Statement of Compatibility) 23 June 2022, 2644, 2650.</w:t>
      </w:r>
    </w:p>
  </w:footnote>
  <w:footnote w:id="198">
    <w:p w14:paraId="32A62E37" w14:textId="77777777" w:rsidR="007B434F" w:rsidRPr="00030932" w:rsidRDefault="007B434F" w:rsidP="007B434F">
      <w:pPr>
        <w:pStyle w:val="FootnoteText"/>
        <w:rPr>
          <w:rFonts w:cstheme="minorHAnsi"/>
          <w:color w:val="FFFFFF" w:themeColor="background1"/>
          <w:sz w:val="16"/>
          <w:szCs w:val="16"/>
        </w:rPr>
      </w:pPr>
      <w:r w:rsidRPr="00846071">
        <w:rPr>
          <w:rStyle w:val="FootnoteReference"/>
          <w:color w:val="FFFFFF" w:themeColor="background1"/>
          <w:sz w:val="16"/>
          <w:szCs w:val="16"/>
        </w:rPr>
        <w:footnoteRef/>
      </w:r>
      <w:r w:rsidRPr="004A0E9D">
        <w:rPr>
          <w:rFonts w:cstheme="minorHAnsi"/>
          <w:color w:val="FFFFFF" w:themeColor="background1"/>
          <w:sz w:val="16"/>
          <w:szCs w:val="16"/>
        </w:rPr>
        <w:t xml:space="preserve"> </w:t>
      </w:r>
      <w:r w:rsidRPr="00030932">
        <w:rPr>
          <w:rFonts w:cstheme="minorHAnsi"/>
          <w:i/>
          <w:iCs/>
          <w:color w:val="FFFFFF" w:themeColor="background1"/>
          <w:sz w:val="16"/>
          <w:szCs w:val="16"/>
        </w:rPr>
        <w:t xml:space="preserve">Mental Health Act 2014 </w:t>
      </w:r>
      <w:r w:rsidRPr="00030932">
        <w:rPr>
          <w:rFonts w:cstheme="minorHAnsi"/>
          <w:color w:val="FFFFFF" w:themeColor="background1"/>
          <w:sz w:val="16"/>
          <w:szCs w:val="16"/>
        </w:rPr>
        <w:t xml:space="preserve">(Vic) ss 68-71; </w:t>
      </w:r>
      <w:r w:rsidRPr="00030932">
        <w:rPr>
          <w:rFonts w:cstheme="minorHAnsi"/>
          <w:i/>
          <w:iCs/>
          <w:color w:val="FFFFFF" w:themeColor="background1"/>
          <w:sz w:val="16"/>
          <w:szCs w:val="16"/>
        </w:rPr>
        <w:t xml:space="preserve">Mental Health and Wellbeing Act 2022 </w:t>
      </w:r>
      <w:r w:rsidRPr="00030932">
        <w:rPr>
          <w:rFonts w:cstheme="minorHAnsi"/>
          <w:color w:val="FFFFFF" w:themeColor="background1"/>
          <w:sz w:val="16"/>
          <w:szCs w:val="16"/>
        </w:rPr>
        <w:t>(Vic) ss 85-89.</w:t>
      </w:r>
    </w:p>
  </w:footnote>
  <w:footnote w:id="199">
    <w:p w14:paraId="2EAD4914" w14:textId="365793C5" w:rsidR="00BA3B00" w:rsidRPr="00030932" w:rsidRDefault="00BA3B00">
      <w:pPr>
        <w:pStyle w:val="FootnoteText"/>
        <w:rPr>
          <w:rFonts w:cstheme="minorHAnsi"/>
          <w:color w:val="FFFFFF" w:themeColor="background1"/>
          <w:sz w:val="16"/>
          <w:szCs w:val="16"/>
        </w:rPr>
      </w:pPr>
      <w:r w:rsidRPr="00846071">
        <w:rPr>
          <w:rStyle w:val="FootnoteReference"/>
          <w:color w:val="FFFFFF" w:themeColor="background1"/>
          <w:sz w:val="16"/>
          <w:szCs w:val="16"/>
        </w:rPr>
        <w:footnoteRef/>
      </w:r>
      <w:r w:rsidRPr="004A0E9D">
        <w:rPr>
          <w:rFonts w:cstheme="minorHAnsi"/>
          <w:color w:val="FFFFFF" w:themeColor="background1"/>
          <w:sz w:val="16"/>
          <w:szCs w:val="16"/>
        </w:rPr>
        <w:t xml:space="preserve"> </w:t>
      </w:r>
      <w:r w:rsidRPr="00030932">
        <w:rPr>
          <w:rFonts w:cstheme="minorHAnsi"/>
          <w:i/>
          <w:iCs/>
          <w:color w:val="FFFFFF" w:themeColor="background1"/>
          <w:sz w:val="16"/>
          <w:szCs w:val="16"/>
        </w:rPr>
        <w:t xml:space="preserve">Mental Health Act 2014 </w:t>
      </w:r>
      <w:r w:rsidRPr="00030932">
        <w:rPr>
          <w:rFonts w:cstheme="minorHAnsi"/>
          <w:color w:val="FFFFFF" w:themeColor="background1"/>
          <w:sz w:val="16"/>
          <w:szCs w:val="16"/>
        </w:rPr>
        <w:t xml:space="preserve">(Vic) </w:t>
      </w:r>
      <w:r w:rsidR="00456C1E" w:rsidRPr="00030932">
        <w:rPr>
          <w:rFonts w:cstheme="minorHAnsi"/>
          <w:color w:val="FFFFFF" w:themeColor="background1"/>
          <w:sz w:val="16"/>
          <w:szCs w:val="16"/>
        </w:rPr>
        <w:t>Pt 6</w:t>
      </w:r>
      <w:r w:rsidRPr="00030932">
        <w:rPr>
          <w:rFonts w:cstheme="minorHAnsi"/>
          <w:color w:val="FFFFFF" w:themeColor="background1"/>
          <w:sz w:val="16"/>
          <w:szCs w:val="16"/>
        </w:rPr>
        <w:t xml:space="preserve">; </w:t>
      </w:r>
      <w:r w:rsidRPr="00030932">
        <w:rPr>
          <w:rFonts w:cstheme="minorHAnsi"/>
          <w:i/>
          <w:iCs/>
          <w:color w:val="FFFFFF" w:themeColor="background1"/>
          <w:sz w:val="16"/>
          <w:szCs w:val="16"/>
        </w:rPr>
        <w:t xml:space="preserve">Mental Health and Wellbeing Act 2022 </w:t>
      </w:r>
      <w:r w:rsidRPr="00030932">
        <w:rPr>
          <w:rFonts w:cstheme="minorHAnsi"/>
          <w:color w:val="FFFFFF" w:themeColor="background1"/>
          <w:sz w:val="16"/>
          <w:szCs w:val="16"/>
        </w:rPr>
        <w:t xml:space="preserve">(Vic) </w:t>
      </w:r>
      <w:r w:rsidR="003F797F" w:rsidRPr="00030932">
        <w:rPr>
          <w:rFonts w:cstheme="minorHAnsi"/>
          <w:color w:val="FFFFFF" w:themeColor="background1"/>
          <w:sz w:val="16"/>
          <w:szCs w:val="16"/>
        </w:rPr>
        <w:t>Pt 3.6.</w:t>
      </w:r>
    </w:p>
  </w:footnote>
  <w:footnote w:id="200">
    <w:p w14:paraId="73935FFD" w14:textId="7A894486" w:rsidR="00051CB0" w:rsidRPr="00030932" w:rsidRDefault="00051CB0" w:rsidP="00051CB0">
      <w:pPr>
        <w:pStyle w:val="FootnoteText"/>
        <w:rPr>
          <w:rFonts w:cstheme="minorHAnsi"/>
          <w:color w:val="FFFFFF" w:themeColor="background1"/>
          <w:sz w:val="16"/>
          <w:szCs w:val="16"/>
        </w:rPr>
      </w:pPr>
      <w:r w:rsidRPr="00846071">
        <w:rPr>
          <w:rStyle w:val="FootnoteReference"/>
          <w:color w:val="FFFFFF" w:themeColor="background1"/>
          <w:sz w:val="16"/>
          <w:szCs w:val="16"/>
        </w:rPr>
        <w:footnoteRef/>
      </w:r>
      <w:r w:rsidRPr="004A0E9D">
        <w:rPr>
          <w:rFonts w:cstheme="minorHAnsi"/>
          <w:color w:val="FFFFFF" w:themeColor="background1"/>
          <w:sz w:val="16"/>
          <w:szCs w:val="16"/>
        </w:rPr>
        <w:t xml:space="preserve"> </w:t>
      </w:r>
      <w:r w:rsidRPr="00030932">
        <w:rPr>
          <w:rFonts w:cstheme="minorHAnsi"/>
          <w:color w:val="FFFFFF" w:themeColor="background1"/>
          <w:sz w:val="16"/>
          <w:szCs w:val="16"/>
        </w:rPr>
        <w:fldChar w:fldCharType="begin"/>
      </w:r>
      <w:r w:rsidR="005A3579">
        <w:rPr>
          <w:rFonts w:cstheme="minorHAnsi"/>
          <w:color w:val="FFFFFF" w:themeColor="background1"/>
          <w:sz w:val="16"/>
          <w:szCs w:val="16"/>
        </w:rPr>
        <w:instrText xml:space="preserve"> ADDIN ZOTERO_ITEM CSL_CITATION {"citationID":"xVzWUq8R","properties":{"formattedCitation":"Maylea et al (n 33); see also: Victoria Legal Aid, {\\i{}Roads to Recovery: Building a Better System for People Experiencing Mental Health Issues in Victoria} (2019) &lt;https://www.legalaid.vic.gov.au/sites/www.legalaid.vic.gov.au/files/vla-submission-roads-to-recovery-july-2019.docx&gt;; Victoria Legal Aid (n 8).","plainCitation":"Maylea et al (n 33); see also: Victoria Legal Aid, Roads to Recovery: Building a Better System for People Experiencing Mental Health Issues in Victoria (2019) &lt;https://www.legalaid.vic.gov.au/sites/www.legalaid.vic.gov.au/files/vla-submission-roads-to-recovery-july-2019.docx&gt;; Victoria Legal Aid (n 8).","noteIndex":325},"citationItems":[{"id":681,"uris":["http://zotero.org/users/local/OLPofQUL/items/K37PLPJH"],"itemData":{"id":681,"type":"article-journal","container-title":"International Journal of Law and Psychiatry","DOI":"101737","ISSN":"0160-2527","title":"Consumers’ experiences of rights-based mental health laws: Lessons from Victoria, Australia","URL":"https://doi.org/10.1016/j.ijlp.2021.101737.","volume":"78","author":[{"family":"Maylea","given":"Chris"},{"family":"Katterl","given":"Simon"},{"family":"Johnson","given":"Brendan"},{"family":"Alvarez-Varquez","given":"Susan"},{"family":"Hill","given":"Nicholas"},{"family":"Weller","given":"Penelope"}],"issued":{"date-parts":[["2021"]]}}},{"id":55,"uris":["http://zotero.org/users/local/OLPofQUL/items/MXAWCMT9"],"itemData":{"id":55,"type":"report","title":"Roads to recovery: Building a Better System for People Experiencing Mental Health Issues in Victoria","URL":"https://www.legalaid.vic.gov.au/sites/www.legalaid.vic.gov.au/files/vla-submission-roads-to-recovery-july-2019.docx","author":[{"literal":"Victoria Legal Aid"}],"issued":{"date-parts":[["2019"]]}},"label":"page","prefix":"see also:"},{"id":56,"uris":["http://zotero.org/users/local/OLPofQUL/items/NAESJ9R5"],"itemData":{"id":56,"type":"report","event-place":"Victoria Legal Aid","publisher":"Victoria Legal Aid","publisher-place":"Victoria Legal Aid","title":"Your story, your say: Consumers' priority issues and solutions for the Royal Commission into Victoria's Mental Health System","URL":"https://www.legalaid.vic.gov.au/sites/www.legalaid.vic.gov.au/files/vla-your-story-your-say-report.pdf","author":[{"literal":"Victoria Legal Aid"}],"issued":{"date-parts":[["2020"]]}}}],"schema":"https://github.com/citation-style-language/schema/raw/master/csl-citation.json"} </w:instrText>
      </w:r>
      <w:r w:rsidRPr="00030932">
        <w:rPr>
          <w:rFonts w:cstheme="minorHAnsi"/>
          <w:color w:val="FFFFFF" w:themeColor="background1"/>
          <w:sz w:val="16"/>
          <w:szCs w:val="16"/>
        </w:rPr>
        <w:fldChar w:fldCharType="separate"/>
      </w:r>
      <w:r w:rsidR="00356F28" w:rsidRPr="00030932">
        <w:rPr>
          <w:rFonts w:ascii="Calibri" w:hAnsi="Calibri" w:cs="Calibri"/>
          <w:color w:val="FFFFFF" w:themeColor="background1"/>
          <w:sz w:val="16"/>
          <w:szCs w:val="16"/>
        </w:rPr>
        <w:t xml:space="preserve">Maylea et al (n 33); see also: Victoria Legal Aid, </w:t>
      </w:r>
      <w:r w:rsidR="00356F28" w:rsidRPr="00030932">
        <w:rPr>
          <w:rFonts w:ascii="Calibri" w:hAnsi="Calibri" w:cs="Calibri"/>
          <w:i/>
          <w:iCs/>
          <w:color w:val="FFFFFF" w:themeColor="background1"/>
          <w:sz w:val="16"/>
          <w:szCs w:val="16"/>
        </w:rPr>
        <w:t>Roads to Recovery: Building a Better System for People Experiencing Mental Health Issues in Victoria</w:t>
      </w:r>
      <w:r w:rsidR="00356F28" w:rsidRPr="00030932">
        <w:rPr>
          <w:rFonts w:ascii="Calibri" w:hAnsi="Calibri" w:cs="Calibri"/>
          <w:color w:val="FFFFFF" w:themeColor="background1"/>
          <w:sz w:val="16"/>
          <w:szCs w:val="16"/>
        </w:rPr>
        <w:t xml:space="preserve"> (2019) &lt;https://www.legalaid.vic.gov.au/sites/www.legalaid.vic.gov.au/files/vla-submission-roads-to-recovery-july-2019.docx&gt;; Victoria Legal Aid (n 8).</w:t>
      </w:r>
      <w:r w:rsidRPr="00030932">
        <w:rPr>
          <w:rFonts w:cstheme="minorHAnsi"/>
          <w:color w:val="FFFFFF" w:themeColor="background1"/>
          <w:sz w:val="16"/>
          <w:szCs w:val="16"/>
        </w:rPr>
        <w:fldChar w:fldCharType="end"/>
      </w:r>
    </w:p>
  </w:footnote>
  <w:footnote w:id="201">
    <w:p w14:paraId="2DFE23EE" w14:textId="452B4930" w:rsidR="00D0149F" w:rsidRPr="00030932" w:rsidRDefault="00D0149F" w:rsidP="00D0149F">
      <w:pPr>
        <w:pStyle w:val="FootnoteText"/>
        <w:rPr>
          <w:rFonts w:cstheme="minorHAnsi"/>
          <w:color w:val="FFFFFF" w:themeColor="background1"/>
          <w:sz w:val="16"/>
          <w:szCs w:val="16"/>
          <w:lang w:val="en-US"/>
        </w:rPr>
      </w:pPr>
      <w:r w:rsidRPr="00846071">
        <w:rPr>
          <w:rStyle w:val="FootnoteReference"/>
          <w:color w:val="FFFFFF" w:themeColor="background1"/>
          <w:sz w:val="16"/>
          <w:szCs w:val="16"/>
        </w:rPr>
        <w:footnoteRef/>
      </w:r>
      <w:r w:rsidRPr="004A0E9D">
        <w:rPr>
          <w:rFonts w:cstheme="minorHAnsi"/>
          <w:color w:val="FFFFFF" w:themeColor="background1"/>
          <w:sz w:val="16"/>
          <w:szCs w:val="16"/>
        </w:rPr>
        <w:t xml:space="preserve"> </w:t>
      </w:r>
      <w:r w:rsidR="006B06B9" w:rsidRPr="004A0E9D">
        <w:rPr>
          <w:rFonts w:cstheme="minorHAnsi"/>
          <w:color w:val="FFFFFF" w:themeColor="background1"/>
          <w:sz w:val="16"/>
          <w:szCs w:val="16"/>
        </w:rPr>
        <w:fldChar w:fldCharType="begin"/>
      </w:r>
      <w:r w:rsidR="001131D7" w:rsidRPr="004A0E9D">
        <w:rPr>
          <w:rFonts w:cstheme="minorHAnsi"/>
          <w:color w:val="FFFFFF" w:themeColor="background1"/>
          <w:sz w:val="16"/>
          <w:szCs w:val="16"/>
        </w:rPr>
        <w:instrText xml:space="preserve"> ADDIN ZOTERO_ITEM CSL_CITATION {"citationID":"Pfuzf0nh","properties":{"formattedCitation":"State of Victoria, \\uc0\\u8216{}Royal Commission into Victoria\\uc0\\u8217{}s Mental Health System, Volume 4: The Fundamentals for Enduring Reform\\uc0\\u8217{} (n 4) 402.","plainCitation":"State of Victoria, ‘Royal Commission into Victoria’s Mental Health System, Volume 4: The Fundamentals for Enduring Reform’ (n 4) 402.","noteIndex":325},"citationItems":[{"id":242,"uris":["http://zotero.org/users/local/OLPofQUL/items/UYQDXE84"],"itemData":{"id":242,"type":"report","number":"Parliamentary Paper no. 202, Session 2018-2021 (document 5 of 6)","publisher":"State of Victoria","title":"Royal Commission into Victoria's Mental Health System, Volume 4: The fundamentals for enduring reform","URL":"https://finalreport.rcvmhs.vic.gov.au/download-report/","author":[{"family":"State of Victoria","given":""}],"issued":{"date-parts":[["2021"]]}},"locator":"402","label":"page"}],"schema":"https://github.com/citation-style-language/schema/raw/master/csl-citation.json"} </w:instrText>
      </w:r>
      <w:r w:rsidR="006B06B9" w:rsidRPr="004A0E9D">
        <w:rPr>
          <w:rFonts w:cstheme="minorHAnsi"/>
          <w:color w:val="FFFFFF" w:themeColor="background1"/>
          <w:sz w:val="16"/>
          <w:szCs w:val="16"/>
        </w:rPr>
        <w:fldChar w:fldCharType="separate"/>
      </w:r>
      <w:r w:rsidR="001131D7" w:rsidRPr="00846071">
        <w:rPr>
          <w:rFonts w:ascii="Calibri" w:hAnsi="Calibri" w:cs="Calibri"/>
          <w:color w:val="FFFFFF" w:themeColor="background1"/>
          <w:sz w:val="16"/>
          <w:szCs w:val="16"/>
        </w:rPr>
        <w:t>State of Victoria, ‘Royal Commission into Victoria’s Mental Health System, Volume 4: The Fundamentals for Enduring Reform’ (n 4) 402.</w:t>
      </w:r>
      <w:r w:rsidR="006B06B9" w:rsidRPr="004A0E9D">
        <w:rPr>
          <w:rFonts w:cstheme="minorHAnsi"/>
          <w:color w:val="FFFFFF" w:themeColor="background1"/>
          <w:sz w:val="16"/>
          <w:szCs w:val="16"/>
        </w:rPr>
        <w:fldChar w:fldCharType="end"/>
      </w:r>
    </w:p>
  </w:footnote>
  <w:footnote w:id="202">
    <w:p w14:paraId="60E1702F" w14:textId="565BC888" w:rsidR="0094748D" w:rsidRPr="00030932" w:rsidRDefault="0094748D" w:rsidP="0094748D">
      <w:pPr>
        <w:pStyle w:val="FootnoteText"/>
        <w:rPr>
          <w:rFonts w:cstheme="minorHAnsi"/>
          <w:color w:val="FFFFFF" w:themeColor="background1"/>
          <w:sz w:val="16"/>
          <w:szCs w:val="16"/>
        </w:rPr>
      </w:pPr>
      <w:r w:rsidRPr="00846071">
        <w:rPr>
          <w:rStyle w:val="FootnoteReference"/>
          <w:color w:val="FFFFFF" w:themeColor="background1"/>
          <w:sz w:val="16"/>
          <w:szCs w:val="16"/>
        </w:rPr>
        <w:footnoteRef/>
      </w:r>
      <w:r w:rsidRPr="00030932">
        <w:rPr>
          <w:rFonts w:cstheme="minorHAnsi"/>
          <w:color w:val="FFFFFF" w:themeColor="background1"/>
          <w:sz w:val="16"/>
          <w:szCs w:val="16"/>
        </w:rPr>
        <w:t xml:space="preserve"> </w:t>
      </w:r>
      <w:r w:rsidRPr="00030932">
        <w:rPr>
          <w:rFonts w:cstheme="minorHAnsi"/>
          <w:color w:val="FFFFFF" w:themeColor="background1"/>
          <w:sz w:val="16"/>
          <w:szCs w:val="16"/>
        </w:rPr>
        <w:fldChar w:fldCharType="begin"/>
      </w:r>
      <w:r w:rsidR="00E33440" w:rsidRPr="00030932">
        <w:rPr>
          <w:rFonts w:cstheme="minorHAnsi"/>
          <w:color w:val="FFFFFF" w:themeColor="background1"/>
          <w:sz w:val="16"/>
          <w:szCs w:val="16"/>
        </w:rPr>
        <w:instrText xml:space="preserve"> ADDIN ZOTERO_ITEM CSL_CITATION {"citationID":"NfkQ9A86","properties":{"formattedCitation":"Jonathan Knott et al, \\uc0\\u8216{}Restrictive Interventions in Victorian Emergency Departments: A Study of Current Clinical Practice\\uc0\\u8217{} (2020) 32(3) {\\i{}Emergency Medicine Australasia} 393.","plainCitation":"Jonathan Knott et al, ‘Restrictive Interventions in Victorian Emergency Departments: A Study of Current Clinical Practice’ (2020) 32(3) Emergency Medicine Australasia 393.","noteIndex":324},"citationItems":[{"id":29,"uris":["http://zotero.org/users/local/OLPofQUL/items/2JRG8APU"],"itemData":{"id":29,"type":"article-journal","container-title":"Emergency Medicine Australasia","ISSN":"1742-6731","issue":"3","page":"393-400","title":"Restrictive interventions in Victorian emergency departments: A study of current clinical practice","volume":"32","author":[{"family":"Knott","given":"Jonathan"},{"family":"Gerdtz","given":"Marie"},{"family":"Dobson","given":"Sheriden"},{"family":"Daniel","given":"Catherine"},{"family":"Graudins","given":"Andis"},{"family":"Mitra","given":"Biswadev"},{"family":"Bartley","given":"Bruce"},{"family":"Chapman","given":"Pauline"}],"issued":{"date-parts":[["2020"]]}}}],"schema":"https://github.com/citation-style-language/schema/raw/master/csl-citation.json"} </w:instrText>
      </w:r>
      <w:r w:rsidRPr="00030932">
        <w:rPr>
          <w:rFonts w:cstheme="minorHAnsi"/>
          <w:color w:val="FFFFFF" w:themeColor="background1"/>
          <w:sz w:val="16"/>
          <w:szCs w:val="16"/>
        </w:rPr>
        <w:fldChar w:fldCharType="separate"/>
      </w:r>
      <w:r w:rsidR="0085211F" w:rsidRPr="00030932">
        <w:rPr>
          <w:rFonts w:ascii="Calibri" w:hAnsi="Calibri" w:cs="Calibri"/>
          <w:color w:val="FFFFFF" w:themeColor="background1"/>
          <w:sz w:val="16"/>
          <w:szCs w:val="16"/>
        </w:rPr>
        <w:t xml:space="preserve">Jonathan Knott et al, ‘Restrictive Interventions in Victorian Emergency Departments: A Study of Current Clinical Practice’ (2020) 32(3) </w:t>
      </w:r>
      <w:r w:rsidR="0085211F" w:rsidRPr="00030932">
        <w:rPr>
          <w:rFonts w:ascii="Calibri" w:hAnsi="Calibri" w:cs="Calibri"/>
          <w:i/>
          <w:iCs/>
          <w:color w:val="FFFFFF" w:themeColor="background1"/>
          <w:sz w:val="16"/>
          <w:szCs w:val="16"/>
        </w:rPr>
        <w:t>Emergency Medicine Australasia</w:t>
      </w:r>
      <w:r w:rsidR="0085211F" w:rsidRPr="00030932">
        <w:rPr>
          <w:rFonts w:ascii="Calibri" w:hAnsi="Calibri" w:cs="Calibri"/>
          <w:color w:val="FFFFFF" w:themeColor="background1"/>
          <w:sz w:val="16"/>
          <w:szCs w:val="16"/>
        </w:rPr>
        <w:t xml:space="preserve"> 393.</w:t>
      </w:r>
      <w:r w:rsidRPr="00030932">
        <w:rPr>
          <w:rFonts w:cstheme="minorHAnsi"/>
          <w:color w:val="FFFFFF" w:themeColor="background1"/>
          <w:sz w:val="16"/>
          <w:szCs w:val="16"/>
        </w:rPr>
        <w:fldChar w:fldCharType="end"/>
      </w:r>
    </w:p>
  </w:footnote>
  <w:footnote w:id="203">
    <w:p w14:paraId="55DAAC88" w14:textId="5843AE91" w:rsidR="004368E4" w:rsidRPr="00030932" w:rsidRDefault="004368E4">
      <w:pPr>
        <w:pStyle w:val="FootnoteText"/>
        <w:rPr>
          <w:rFonts w:cstheme="minorHAnsi"/>
          <w:color w:val="FFFFFF" w:themeColor="background1"/>
          <w:sz w:val="16"/>
          <w:szCs w:val="16"/>
        </w:rPr>
      </w:pPr>
      <w:r w:rsidRPr="00846071">
        <w:rPr>
          <w:rStyle w:val="FootnoteReference"/>
          <w:color w:val="FFFFFF" w:themeColor="background1"/>
          <w:sz w:val="16"/>
          <w:szCs w:val="16"/>
        </w:rPr>
        <w:footnoteRef/>
      </w:r>
      <w:r w:rsidRPr="0067636A">
        <w:rPr>
          <w:rFonts w:cstheme="minorHAnsi"/>
          <w:color w:val="FFFFFF" w:themeColor="background1"/>
          <w:sz w:val="16"/>
          <w:szCs w:val="16"/>
        </w:rPr>
        <w:t xml:space="preserve"> </w:t>
      </w:r>
      <w:r w:rsidRPr="00030932">
        <w:rPr>
          <w:rFonts w:cstheme="minorHAnsi"/>
          <w:color w:val="FFFFFF" w:themeColor="background1"/>
          <w:sz w:val="16"/>
          <w:szCs w:val="16"/>
        </w:rPr>
        <w:fldChar w:fldCharType="begin"/>
      </w:r>
      <w:r w:rsidR="005A3579">
        <w:rPr>
          <w:rFonts w:cstheme="minorHAnsi"/>
          <w:color w:val="FFFFFF" w:themeColor="background1"/>
          <w:sz w:val="16"/>
          <w:szCs w:val="16"/>
        </w:rPr>
        <w:instrText xml:space="preserve"> ADDIN ZOTERO_ITEM CSL_CITATION {"citationID":"NtTCqmRv","properties":{"formattedCitation":"Simon Katterl, \\uc0\\u8216{}The Importance of Motivational Postures to Mental Health Regulators: Lessons for Victoria\\uc0\\u8217{}s Mental Health System in Reducing the Use of Force\\uc0\\u8217{} [2021] {\\i{}Australasian Psychiatry} 10398562211038912.","plainCitation":"Simon Katterl, ‘The Importance of Motivational Postures to Mental Health Regulators: Lessons for Victoria’s Mental Health System in Reducing the Use of Force’ [2021] Australasian Psychiatry 10398562211038912.","noteIndex":328},"citationItems":[{"id":975,"uris":["http://zotero.org/users/local/OLPofQUL/items/BQHAWCFC"],"itemData":{"id":975,"type":"article-journal","container-title":"Australasian Psychiatry","note":"ISBN: 1039-8562\npublisher: SAGE Publications Sage UK: London, England","page":"10398562211038913","title":"The importance of motivational postures to mental health regulators: Lessons for Victoria’s mental health system in reducing the use of force","author":[{"family":"Katterl","given":"Simon"}],"issued":{"date-parts":[["2021"]]}}}],"schema":"https://github.com/citation-style-language/schema/raw/master/csl-citation.json"} </w:instrText>
      </w:r>
      <w:r w:rsidRPr="00030932">
        <w:rPr>
          <w:rFonts w:cstheme="minorHAnsi"/>
          <w:color w:val="FFFFFF" w:themeColor="background1"/>
          <w:sz w:val="16"/>
          <w:szCs w:val="16"/>
        </w:rPr>
        <w:fldChar w:fldCharType="separate"/>
      </w:r>
      <w:r w:rsidRPr="00030932">
        <w:rPr>
          <w:rFonts w:cstheme="minorHAnsi"/>
          <w:color w:val="FFFFFF" w:themeColor="background1"/>
          <w:sz w:val="16"/>
          <w:szCs w:val="16"/>
        </w:rPr>
        <w:t xml:space="preserve">Simon Katterl, ‘The Importance of Motivational Postures to Mental Health Regulators: Lessons for Victoria’s Mental Health System in Reducing the Use of Force’ [2021] </w:t>
      </w:r>
      <w:r w:rsidRPr="00030932">
        <w:rPr>
          <w:rFonts w:cstheme="minorHAnsi"/>
          <w:i/>
          <w:iCs/>
          <w:color w:val="FFFFFF" w:themeColor="background1"/>
          <w:sz w:val="16"/>
          <w:szCs w:val="16"/>
        </w:rPr>
        <w:t>Australasian Psychiatry</w:t>
      </w:r>
      <w:r w:rsidRPr="00030932">
        <w:rPr>
          <w:rFonts w:cstheme="minorHAnsi"/>
          <w:color w:val="FFFFFF" w:themeColor="background1"/>
          <w:sz w:val="16"/>
          <w:szCs w:val="16"/>
        </w:rPr>
        <w:t xml:space="preserve"> 10398562211038912.</w:t>
      </w:r>
      <w:r w:rsidRPr="00030932">
        <w:rPr>
          <w:rFonts w:cstheme="minorHAnsi"/>
          <w:color w:val="FFFFFF" w:themeColor="background1"/>
          <w:sz w:val="16"/>
          <w:szCs w:val="16"/>
        </w:rPr>
        <w:fldChar w:fldCharType="end"/>
      </w:r>
    </w:p>
  </w:footnote>
  <w:footnote w:id="204">
    <w:p w14:paraId="13D83989" w14:textId="4E4502C6" w:rsidR="004368E4" w:rsidRPr="00030932" w:rsidRDefault="004368E4">
      <w:pPr>
        <w:pStyle w:val="FootnoteText"/>
        <w:rPr>
          <w:rFonts w:cstheme="minorHAnsi"/>
          <w:color w:val="FFFFFF" w:themeColor="background1"/>
          <w:sz w:val="16"/>
          <w:szCs w:val="16"/>
        </w:rPr>
      </w:pPr>
      <w:r w:rsidRPr="00846071">
        <w:rPr>
          <w:rStyle w:val="FootnoteReference"/>
          <w:color w:val="FFFFFF" w:themeColor="background1"/>
          <w:sz w:val="16"/>
          <w:szCs w:val="16"/>
        </w:rPr>
        <w:footnoteRef/>
      </w:r>
      <w:r w:rsidRPr="0067636A">
        <w:rPr>
          <w:rFonts w:cstheme="minorHAnsi"/>
          <w:color w:val="FFFFFF" w:themeColor="background1"/>
          <w:sz w:val="16"/>
          <w:szCs w:val="16"/>
        </w:rPr>
        <w:t xml:space="preserve"> </w:t>
      </w:r>
      <w:r w:rsidRPr="00030932">
        <w:rPr>
          <w:rFonts w:cstheme="minorHAnsi"/>
          <w:color w:val="FFFFFF" w:themeColor="background1"/>
          <w:sz w:val="16"/>
          <w:szCs w:val="16"/>
        </w:rPr>
        <w:fldChar w:fldCharType="begin"/>
      </w:r>
      <w:r w:rsidR="00E33440" w:rsidRPr="00030932">
        <w:rPr>
          <w:rFonts w:cstheme="minorHAnsi"/>
          <w:color w:val="FFFFFF" w:themeColor="background1"/>
          <w:sz w:val="16"/>
          <w:szCs w:val="16"/>
        </w:rPr>
        <w:instrText xml:space="preserve"> ADDIN ZOTERO_ITEM CSL_CITATION {"citationID":"gpM6z8Ba","properties":{"formattedCitation":"Scott Lamont, Cameron Stewart and Mary Chiarella, \\uc0\\u8216{}The Misuse of \\uc0\\u8220{}Duty of Care\\uc0\\u8221{} as Justification for Non-Consensual Coercive Treatment\\uc0\\u8217{} (2020) 71 {\\i{}International journal of law and psychiatry} 101598.","plainCitation":"Scott Lamont, Cameron Stewart and Mary Chiarella, ‘The Misuse of “Duty of Care” as Justification for Non-Consensual Coercive Treatment’ (2020) 71 International journal of law and psychiatry 101598.","noteIndex":326},"citationItems":[{"id":265,"uris":["http://zotero.org/users/local/OLPofQUL/items/XGJ2RJQZ"],"itemData":{"id":265,"type":"article-journal","container-title":"International journal of law and psychiatry","note":"ISBN: 0160-2527\npublisher: Elsevier","page":"101598","title":"The misuse of “duty of care” as justification for non-consensual coercive treatment","volume":"71","author":[{"family":"Lamont","given":"Scott"},{"family":"Stewart","given":"Cameron"},{"family":"Chiarella","given":"Mary"}],"issued":{"date-parts":[["2020"]]}}}],"schema":"https://github.com/citation-style-language/schema/raw/master/csl-citation.json"} </w:instrText>
      </w:r>
      <w:r w:rsidRPr="00030932">
        <w:rPr>
          <w:rFonts w:cstheme="minorHAnsi"/>
          <w:color w:val="FFFFFF" w:themeColor="background1"/>
          <w:sz w:val="16"/>
          <w:szCs w:val="16"/>
        </w:rPr>
        <w:fldChar w:fldCharType="separate"/>
      </w:r>
      <w:r w:rsidRPr="00030932">
        <w:rPr>
          <w:rFonts w:cstheme="minorHAnsi"/>
          <w:color w:val="FFFFFF" w:themeColor="background1"/>
          <w:sz w:val="16"/>
          <w:szCs w:val="16"/>
        </w:rPr>
        <w:t xml:space="preserve">Scott Lamont, Cameron Stewart and Mary Chiarella, ‘The Misuse of “Duty of Care” as Justification for Non-Consensual Coercive Treatment’ (2020) 71 </w:t>
      </w:r>
      <w:r w:rsidRPr="00030932">
        <w:rPr>
          <w:rFonts w:cstheme="minorHAnsi"/>
          <w:i/>
          <w:iCs/>
          <w:color w:val="FFFFFF" w:themeColor="background1"/>
          <w:sz w:val="16"/>
          <w:szCs w:val="16"/>
        </w:rPr>
        <w:t>International journal of law and psychiatry</w:t>
      </w:r>
      <w:r w:rsidRPr="00030932">
        <w:rPr>
          <w:rFonts w:cstheme="minorHAnsi"/>
          <w:color w:val="FFFFFF" w:themeColor="background1"/>
          <w:sz w:val="16"/>
          <w:szCs w:val="16"/>
        </w:rPr>
        <w:t xml:space="preserve"> 101598.</w:t>
      </w:r>
      <w:r w:rsidRPr="00030932">
        <w:rPr>
          <w:rFonts w:cstheme="minorHAnsi"/>
          <w:color w:val="FFFFFF" w:themeColor="background1"/>
          <w:sz w:val="16"/>
          <w:szCs w:val="16"/>
        </w:rPr>
        <w:fldChar w:fldCharType="end"/>
      </w:r>
    </w:p>
  </w:footnote>
  <w:footnote w:id="205">
    <w:p w14:paraId="28332B0F" w14:textId="240F35B6" w:rsidR="00194735" w:rsidRPr="0067636A" w:rsidRDefault="00194735">
      <w:pPr>
        <w:pStyle w:val="FootnoteText"/>
        <w:rPr>
          <w:rFonts w:cstheme="minorHAnsi"/>
          <w:color w:val="FFFFFF" w:themeColor="background1"/>
          <w:sz w:val="16"/>
          <w:szCs w:val="16"/>
        </w:rPr>
      </w:pPr>
      <w:r w:rsidRPr="00846071">
        <w:rPr>
          <w:rStyle w:val="FootnoteReference"/>
          <w:color w:val="FFFFFF" w:themeColor="background1"/>
          <w:sz w:val="16"/>
          <w:szCs w:val="16"/>
        </w:rPr>
        <w:footnoteRef/>
      </w:r>
      <w:r w:rsidRPr="0067636A">
        <w:rPr>
          <w:rFonts w:cstheme="minorHAnsi"/>
          <w:color w:val="FFFFFF" w:themeColor="background1"/>
          <w:sz w:val="16"/>
          <w:szCs w:val="16"/>
        </w:rPr>
        <w:t xml:space="preserve"> </w:t>
      </w:r>
      <w:r w:rsidRPr="0067636A">
        <w:rPr>
          <w:rFonts w:cstheme="minorHAnsi"/>
          <w:color w:val="FFFFFF" w:themeColor="background1"/>
          <w:sz w:val="16"/>
          <w:szCs w:val="16"/>
        </w:rPr>
        <w:fldChar w:fldCharType="begin"/>
      </w:r>
      <w:r w:rsidR="005A3579" w:rsidRPr="0067636A">
        <w:rPr>
          <w:rFonts w:cstheme="minorHAnsi"/>
          <w:color w:val="FFFFFF" w:themeColor="background1"/>
          <w:sz w:val="16"/>
          <w:szCs w:val="16"/>
        </w:rPr>
        <w:instrText xml:space="preserve"> ADDIN ZOTERO_ITEM CSL_CITATION {"citationID":"ci3bV7Mb","properties":{"formattedCitation":"Katterl, \\uc0\\u8216{}The Importance of Motivational Postures to Mental Health Regulators: Lessons for Victoria\\uc0\\u8217{}s Mental Health System in Reducing the Use of Force\\uc0\\u8217{} (n 328).","plainCitation":"Katterl, ‘The Importance of Motivational Postures to Mental Health Regulators: Lessons for Victoria’s Mental Health System in Reducing the Use of Force’ (n 328).","noteIndex":330},"citationItems":[{"id":975,"uris":["http://zotero.org/users/local/OLPofQUL/items/BQHAWCFC"],"itemData":{"id":975,"type":"article-journal","container-title":"Australasian Psychiatry","note":"ISBN: 1039-8562\npublisher: SAGE Publications Sage UK: London, England","page":"10398562211038913","title":"The importance of motivational postures to mental health regulators: Lessons for Victoria’s mental health system in reducing the use of force","author":[{"family":"Katterl","given":"Simon"}],"issued":{"date-parts":[["2021"]]}}}],"schema":"https://github.com/citation-style-language/schema/raw/master/csl-citation.json"} </w:instrText>
      </w:r>
      <w:r w:rsidRPr="0067636A">
        <w:rPr>
          <w:rFonts w:cstheme="minorHAnsi"/>
          <w:color w:val="FFFFFF" w:themeColor="background1"/>
          <w:sz w:val="16"/>
          <w:szCs w:val="16"/>
        </w:rPr>
        <w:fldChar w:fldCharType="separate"/>
      </w:r>
      <w:r w:rsidR="005A3579" w:rsidRPr="00846071">
        <w:rPr>
          <w:rFonts w:ascii="Calibri" w:hAnsi="Calibri" w:cs="Calibri"/>
          <w:color w:val="FFFFFF" w:themeColor="background1"/>
          <w:sz w:val="16"/>
          <w:szCs w:val="24"/>
        </w:rPr>
        <w:t>Katterl, ‘The Importance of Motivational Postures to Mental Health Regulators: Lessons for Victoria’s Mental Health System in Reducing the Use of Force’ (n 328).</w:t>
      </w:r>
      <w:r w:rsidRPr="0067636A">
        <w:rPr>
          <w:rFonts w:cstheme="minorHAnsi"/>
          <w:color w:val="FFFFFF" w:themeColor="background1"/>
          <w:sz w:val="16"/>
          <w:szCs w:val="16"/>
        </w:rPr>
        <w:fldChar w:fldCharType="end"/>
      </w:r>
    </w:p>
  </w:footnote>
  <w:footnote w:id="206">
    <w:p w14:paraId="35AAE3FC" w14:textId="0EB09529" w:rsidR="000D32E5" w:rsidRPr="0067636A" w:rsidRDefault="000D32E5" w:rsidP="000D32E5">
      <w:pPr>
        <w:pStyle w:val="FootnoteText"/>
        <w:rPr>
          <w:rFonts w:cstheme="minorHAnsi"/>
          <w:color w:val="FFFFFF" w:themeColor="background1"/>
          <w:sz w:val="16"/>
          <w:szCs w:val="16"/>
        </w:rPr>
      </w:pPr>
      <w:r w:rsidRPr="00846071">
        <w:rPr>
          <w:rStyle w:val="FootnoteReference"/>
          <w:color w:val="FFFFFF" w:themeColor="background1"/>
          <w:sz w:val="16"/>
          <w:szCs w:val="16"/>
        </w:rPr>
        <w:footnoteRef/>
      </w:r>
      <w:r w:rsidRPr="0067636A">
        <w:rPr>
          <w:rFonts w:cstheme="minorHAnsi"/>
          <w:color w:val="FFFFFF" w:themeColor="background1"/>
          <w:sz w:val="16"/>
          <w:szCs w:val="16"/>
        </w:rPr>
        <w:t xml:space="preserve"> </w:t>
      </w:r>
      <w:r w:rsidRPr="0067636A">
        <w:rPr>
          <w:rFonts w:cstheme="minorHAnsi"/>
          <w:color w:val="FFFFFF" w:themeColor="background1"/>
          <w:sz w:val="16"/>
          <w:szCs w:val="16"/>
        </w:rPr>
        <w:fldChar w:fldCharType="begin"/>
      </w:r>
      <w:r w:rsidR="005A3579" w:rsidRPr="0067636A">
        <w:rPr>
          <w:rFonts w:cstheme="minorHAnsi"/>
          <w:color w:val="FFFFFF" w:themeColor="background1"/>
          <w:sz w:val="16"/>
          <w:szCs w:val="16"/>
        </w:rPr>
        <w:instrText xml:space="preserve"> ADDIN ZOTERO_ITEM CSL_CITATION {"citationID":"xPa85FD9","properties":{"formattedCitation":"Ibid.","plainCitation":"Ibid.","noteIndex":331},"citationItems":[{"id":975,"uris":["http://zotero.org/users/local/OLPofQUL/items/BQHAWCFC"],"itemData":{"id":975,"type":"article-journal","container-title":"Australasian Psychiatry","note":"ISBN: 1039-8562\npublisher: SAGE Publications Sage UK: London, England","page":"10398562211038913","title":"The importance of motivational postures to mental health regulators: Lessons for Victoria’s mental health system in reducing the use of force","author":[{"family":"Katterl","given":"Simon"}],"issued":{"date-parts":[["2021"]]}}}],"schema":"https://github.com/citation-style-language/schema/raw/master/csl-citation.json"} </w:instrText>
      </w:r>
      <w:r w:rsidRPr="0067636A">
        <w:rPr>
          <w:rFonts w:cstheme="minorHAnsi"/>
          <w:color w:val="FFFFFF" w:themeColor="background1"/>
          <w:sz w:val="16"/>
          <w:szCs w:val="16"/>
        </w:rPr>
        <w:fldChar w:fldCharType="separate"/>
      </w:r>
      <w:r w:rsidRPr="0067636A">
        <w:rPr>
          <w:rFonts w:cstheme="minorHAnsi"/>
          <w:color w:val="FFFFFF" w:themeColor="background1"/>
          <w:sz w:val="16"/>
          <w:szCs w:val="16"/>
        </w:rPr>
        <w:t>Ibid.</w:t>
      </w:r>
      <w:r w:rsidRPr="0067636A">
        <w:rPr>
          <w:rFonts w:cstheme="minorHAnsi"/>
          <w:color w:val="FFFFFF" w:themeColor="background1"/>
          <w:sz w:val="16"/>
          <w:szCs w:val="16"/>
        </w:rPr>
        <w:fldChar w:fldCharType="end"/>
      </w:r>
    </w:p>
  </w:footnote>
  <w:footnote w:id="207">
    <w:p w14:paraId="5400DEF7" w14:textId="6FF3C8A2" w:rsidR="00072BFB" w:rsidRPr="0067636A" w:rsidRDefault="00072BFB">
      <w:pPr>
        <w:pStyle w:val="FootnoteText"/>
        <w:rPr>
          <w:rFonts w:cstheme="minorHAnsi"/>
          <w:color w:val="FFFFFF" w:themeColor="background1"/>
          <w:sz w:val="16"/>
          <w:szCs w:val="16"/>
        </w:rPr>
      </w:pPr>
      <w:r w:rsidRPr="00846071">
        <w:rPr>
          <w:rStyle w:val="FootnoteReference"/>
          <w:color w:val="FFFFFF" w:themeColor="background1"/>
          <w:sz w:val="16"/>
          <w:szCs w:val="16"/>
        </w:rPr>
        <w:footnoteRef/>
      </w:r>
      <w:r w:rsidRPr="0067636A">
        <w:rPr>
          <w:rFonts w:cstheme="minorHAnsi"/>
          <w:color w:val="FFFFFF" w:themeColor="background1"/>
          <w:sz w:val="16"/>
          <w:szCs w:val="16"/>
        </w:rPr>
        <w:t xml:space="preserve"> </w:t>
      </w:r>
      <w:r w:rsidRPr="0067636A">
        <w:rPr>
          <w:rFonts w:cstheme="minorHAnsi"/>
          <w:color w:val="FFFFFF" w:themeColor="background1"/>
          <w:sz w:val="16"/>
          <w:szCs w:val="16"/>
        </w:rPr>
        <w:fldChar w:fldCharType="begin"/>
      </w:r>
      <w:r w:rsidR="001131D7" w:rsidRPr="0067636A">
        <w:rPr>
          <w:rFonts w:cstheme="minorHAnsi"/>
          <w:color w:val="FFFFFF" w:themeColor="background1"/>
          <w:sz w:val="16"/>
          <w:szCs w:val="16"/>
        </w:rPr>
        <w:instrText xml:space="preserve"> ADDIN ZOTERO_ITEM CSL_CITATION {"citationID":"FkTCuNfc","properties":{"formattedCitation":"State of Victoria, \\uc0\\u8216{}Royal Commission into Victoria\\uc0\\u8217{}s Mental Health System, Volume 4: The Fundamentals for Enduring Reform\\uc0\\u8217{} (n 4) 128\\uc0\\u8211{}129.","plainCitation":"State of Victoria, ‘Royal Commission into Victoria’s Mental Health System, Volume 4: The Fundamentals for Enduring Reform’ (n 4) 128–129.","noteIndex":331},"citationItems":[{"id":242,"uris":["http://zotero.org/users/local/OLPofQUL/items/UYQDXE84"],"itemData":{"id":242,"type":"report","number":"Parliamentary Paper no. 202, Session 2018-2021 (document 5 of 6)","publisher":"State of Victoria","title":"Royal Commission into Victoria's Mental Health System, Volume 4: The fundamentals for enduring reform","URL":"https://finalreport.rcvmhs.vic.gov.au/download-report/","author":[{"family":"State of Victoria","given":""}],"issued":{"date-parts":[["2021"]]}},"locator":"128-129","label":"page"}],"schema":"https://github.com/citation-style-language/schema/raw/master/csl-citation.json"} </w:instrText>
      </w:r>
      <w:r w:rsidRPr="0067636A">
        <w:rPr>
          <w:rFonts w:cstheme="minorHAnsi"/>
          <w:color w:val="FFFFFF" w:themeColor="background1"/>
          <w:sz w:val="16"/>
          <w:szCs w:val="16"/>
        </w:rPr>
        <w:fldChar w:fldCharType="separate"/>
      </w:r>
      <w:r w:rsidR="001131D7" w:rsidRPr="00846071">
        <w:rPr>
          <w:rFonts w:ascii="Calibri" w:hAnsi="Calibri" w:cs="Calibri"/>
          <w:color w:val="FFFFFF" w:themeColor="background1"/>
          <w:sz w:val="16"/>
          <w:szCs w:val="16"/>
        </w:rPr>
        <w:t>State of Victoria, ‘Royal Commission into Victoria’s Mental Health System, Volume 4: The Fundamentals for Enduring Reform’ (n 4) 128–129.</w:t>
      </w:r>
      <w:r w:rsidRPr="0067636A">
        <w:rPr>
          <w:rFonts w:cstheme="minorHAnsi"/>
          <w:color w:val="FFFFFF" w:themeColor="background1"/>
          <w:sz w:val="16"/>
          <w:szCs w:val="16"/>
        </w:rPr>
        <w:fldChar w:fldCharType="end"/>
      </w:r>
    </w:p>
  </w:footnote>
  <w:footnote w:id="208">
    <w:p w14:paraId="16886F58" w14:textId="76293D4F" w:rsidR="00AD2511" w:rsidRPr="00030932" w:rsidRDefault="00AD2511">
      <w:pPr>
        <w:pStyle w:val="FootnoteText"/>
        <w:rPr>
          <w:rFonts w:cstheme="minorHAnsi"/>
          <w:sz w:val="16"/>
          <w:szCs w:val="16"/>
        </w:rPr>
      </w:pPr>
      <w:r w:rsidRPr="00846071">
        <w:rPr>
          <w:rStyle w:val="FootnoteReference"/>
          <w:color w:val="FFFFFF" w:themeColor="background1"/>
          <w:sz w:val="16"/>
          <w:szCs w:val="16"/>
        </w:rPr>
        <w:footnoteRef/>
      </w:r>
      <w:r w:rsidRPr="0067636A">
        <w:rPr>
          <w:rFonts w:cstheme="minorHAnsi"/>
          <w:color w:val="FFFFFF" w:themeColor="background1"/>
          <w:sz w:val="16"/>
          <w:szCs w:val="16"/>
        </w:rPr>
        <w:t xml:space="preserve"> </w:t>
      </w:r>
      <w:r w:rsidRPr="0067636A">
        <w:rPr>
          <w:rFonts w:cstheme="minorHAnsi"/>
          <w:color w:val="FFFFFF" w:themeColor="background1"/>
          <w:sz w:val="16"/>
          <w:szCs w:val="16"/>
        </w:rPr>
        <w:fldChar w:fldCharType="begin"/>
      </w:r>
      <w:r w:rsidR="005A3579" w:rsidRPr="0067636A">
        <w:rPr>
          <w:rFonts w:cstheme="minorHAnsi"/>
          <w:color w:val="FFFFFF" w:themeColor="background1"/>
          <w:sz w:val="16"/>
          <w:szCs w:val="16"/>
        </w:rPr>
        <w:instrText xml:space="preserve"> ADDIN ZOTERO_ITEM CSL_CITATION {"citationID":"7O55pw2h","properties":{"formattedCitation":"Katterl and Friel (n 320).","plainCitation":"Katterl and Friel (n 320).","noteIndex":333},"citationItems":[{"id":1589,"uris":["http://zotero.org/users/local/OLPofQUL/items/KQXZPD89"],"itemData":{"id":1589,"type":"chapter","container-title":"The Future of Mental Health, Disability and Criminal Law","publisher":"Routledge","title":"Regulating Rights: Developing a Human Rights and Mental Health Regulatory Framework","author":[{"family":"Katterl","given":"Simon"},{"family":"Friel","given":"Sharon"}],"editor":[{"family":"Wilson","given":"Kay"},{"family":"Maker","given":"Yvette"},{"family":"Gooding","given":"Piers"}],"issued":{"date-parts":[["2023"]],"season":"forthcoming"}}}],"schema":"https://github.com/citation-style-language/schema/raw/master/csl-citation.json"} </w:instrText>
      </w:r>
      <w:r w:rsidRPr="0067636A">
        <w:rPr>
          <w:rFonts w:cstheme="minorHAnsi"/>
          <w:color w:val="FFFFFF" w:themeColor="background1"/>
          <w:sz w:val="16"/>
          <w:szCs w:val="16"/>
        </w:rPr>
        <w:fldChar w:fldCharType="separate"/>
      </w:r>
      <w:r w:rsidR="005A3579" w:rsidRPr="00846071">
        <w:rPr>
          <w:rFonts w:ascii="Calibri" w:hAnsi="Calibri" w:cs="Calibri"/>
          <w:color w:val="FFFFFF" w:themeColor="background1"/>
          <w:sz w:val="16"/>
        </w:rPr>
        <w:t>Katterl and Friel (n 320).</w:t>
      </w:r>
      <w:r w:rsidRPr="0067636A">
        <w:rPr>
          <w:rFonts w:cstheme="minorHAnsi"/>
          <w:color w:val="FFFFFF" w:themeColor="background1"/>
          <w:sz w:val="16"/>
          <w:szCs w:val="16"/>
        </w:rPr>
        <w:fldChar w:fldCharType="end"/>
      </w:r>
    </w:p>
  </w:footnote>
  <w:footnote w:id="209">
    <w:p w14:paraId="6EB4C756" w14:textId="77777777" w:rsidR="00710A6A" w:rsidRPr="00030932" w:rsidRDefault="00710A6A" w:rsidP="00710A6A">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Style w:val="Emphasis"/>
          <w:rFonts w:cstheme="minorHAnsi"/>
          <w:sz w:val="16"/>
          <w:szCs w:val="16"/>
          <w:shd w:val="clear" w:color="auto" w:fill="FFFFFF"/>
        </w:rPr>
        <w:t>Castles v Secretary to the Department of Justice</w:t>
      </w:r>
      <w:r w:rsidRPr="00030932">
        <w:rPr>
          <w:rFonts w:cstheme="minorHAnsi"/>
          <w:sz w:val="16"/>
          <w:szCs w:val="16"/>
          <w:shd w:val="clear" w:color="auto" w:fill="FFFFFF"/>
        </w:rPr>
        <w:t> (2010) 28 VR 141; [2010] VSC 310 [108], [113].</w:t>
      </w:r>
    </w:p>
  </w:footnote>
  <w:footnote w:id="210">
    <w:p w14:paraId="4EE69B54" w14:textId="63470EF6" w:rsidR="00A157D3" w:rsidRPr="00030932" w:rsidRDefault="00A157D3">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005D3646" w:rsidRPr="00030932">
        <w:rPr>
          <w:rStyle w:val="Emphasis"/>
          <w:rFonts w:cstheme="minorHAnsi"/>
          <w:sz w:val="16"/>
          <w:szCs w:val="16"/>
        </w:rPr>
        <w:t>De Bruyn v Victorian Institute of Forensic Mental Health</w:t>
      </w:r>
      <w:r w:rsidR="005D3646" w:rsidRPr="00030932">
        <w:rPr>
          <w:rFonts w:cstheme="minorHAnsi"/>
          <w:sz w:val="16"/>
          <w:szCs w:val="16"/>
        </w:rPr>
        <w:t> (2016) 48 VR 647; [2016] VSC 111 [127].</w:t>
      </w:r>
    </w:p>
  </w:footnote>
  <w:footnote w:id="211">
    <w:p w14:paraId="63BE8502" w14:textId="72818165" w:rsidR="005D3646" w:rsidRPr="00030932" w:rsidRDefault="005D3646">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Style w:val="Emphasis"/>
          <w:rFonts w:cstheme="minorHAnsi"/>
          <w:sz w:val="16"/>
          <w:szCs w:val="16"/>
        </w:rPr>
        <w:t>De Bruyn v Victorian Institute of Forensic Mental Health</w:t>
      </w:r>
      <w:r w:rsidRPr="00030932">
        <w:rPr>
          <w:rFonts w:cstheme="minorHAnsi"/>
          <w:sz w:val="16"/>
          <w:szCs w:val="16"/>
        </w:rPr>
        <w:t> (2016) 48 VR 647; [2016] VSC 111 [128].</w:t>
      </w:r>
    </w:p>
  </w:footnote>
  <w:footnote w:id="212">
    <w:p w14:paraId="734C247E" w14:textId="59F408F0" w:rsidR="00924DDD" w:rsidRPr="00030932" w:rsidRDefault="00924DDD">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Style w:val="Emphasis"/>
          <w:rFonts w:cstheme="minorHAnsi"/>
          <w:sz w:val="16"/>
          <w:szCs w:val="16"/>
        </w:rPr>
        <w:t>De Bruyn v Victorian Institute of Forensic Mental Health</w:t>
      </w:r>
      <w:r w:rsidRPr="00030932">
        <w:rPr>
          <w:rFonts w:cstheme="minorHAnsi"/>
          <w:sz w:val="16"/>
          <w:szCs w:val="16"/>
        </w:rPr>
        <w:t> (2016) 48 VR 647; [2016] VSC 111 [129].</w:t>
      </w:r>
    </w:p>
  </w:footnote>
  <w:footnote w:id="213">
    <w:p w14:paraId="2E37C8EB" w14:textId="1B17579B" w:rsidR="00924DDD" w:rsidRPr="00030932" w:rsidRDefault="00924DDD">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Style w:val="Emphasis"/>
          <w:rFonts w:cstheme="minorHAnsi"/>
          <w:sz w:val="16"/>
          <w:szCs w:val="16"/>
        </w:rPr>
        <w:t>De Bruyn v Victorian Institute of Forensic Mental Health</w:t>
      </w:r>
      <w:r w:rsidRPr="00030932">
        <w:rPr>
          <w:rFonts w:cstheme="minorHAnsi"/>
          <w:sz w:val="16"/>
          <w:szCs w:val="16"/>
        </w:rPr>
        <w:t> (2016) 48 VR 647; [2016] VSC 111 [131].</w:t>
      </w:r>
    </w:p>
  </w:footnote>
  <w:footnote w:id="214">
    <w:p w14:paraId="7C3FC353" w14:textId="63B9E7D0" w:rsidR="005040ED" w:rsidRPr="00030932" w:rsidRDefault="005040ED">
      <w:pPr>
        <w:pStyle w:val="FootnoteText"/>
        <w:rPr>
          <w:sz w:val="16"/>
          <w:szCs w:val="16"/>
        </w:rPr>
      </w:pPr>
      <w:r w:rsidRPr="00030932">
        <w:rPr>
          <w:rStyle w:val="FootnoteReference"/>
          <w:sz w:val="16"/>
          <w:szCs w:val="16"/>
        </w:rPr>
        <w:footnoteRef/>
      </w:r>
      <w:r w:rsidRPr="00030932">
        <w:rPr>
          <w:sz w:val="16"/>
          <w:szCs w:val="16"/>
        </w:rPr>
        <w:t xml:space="preserve"> </w:t>
      </w:r>
      <w:r w:rsidRPr="00030932">
        <w:rPr>
          <w:sz w:val="16"/>
          <w:szCs w:val="16"/>
        </w:rPr>
        <w:fldChar w:fldCharType="begin"/>
      </w:r>
      <w:r w:rsidR="00E33440" w:rsidRPr="00030932">
        <w:rPr>
          <w:sz w:val="16"/>
          <w:szCs w:val="16"/>
        </w:rPr>
        <w:instrText xml:space="preserve"> ADDIN ZOTERO_ITEM CSL_CITATION {"citationID":"vxfFhINy","properties":{"formattedCitation":"Maylea et al (n 33).","plainCitation":"Maylea et al (n 33).","noteIndex":336},"citationItems":[{"id":681,"uris":["http://zotero.org/users/local/OLPofQUL/items/K37PLPJH"],"itemData":{"id":681,"type":"article-journal","container-title":"International Journal of Law and Psychiatry","DOI":"101737","ISSN":"0160-2527","title":"Consumers’ experiences of rights-based mental health laws: Lessons from Victoria, Australia","URL":"https://doi.org/10.1016/j.ijlp.2021.101737.","volume":"78","author":[{"family":"Maylea","given":"Chris"},{"family":"Katterl","given":"Simon"},{"family":"Johnson","given":"Brendan"},{"family":"Alvarez-Varquez","given":"Susan"},{"family":"Hill","given":"Nicholas"},{"family":"Weller","given":"Penelope"}],"issued":{"date-parts":[["2021"]]}}}],"schema":"https://github.com/citation-style-language/schema/raw/master/csl-citation.json"} </w:instrText>
      </w:r>
      <w:r w:rsidRPr="00030932">
        <w:rPr>
          <w:sz w:val="16"/>
          <w:szCs w:val="16"/>
        </w:rPr>
        <w:fldChar w:fldCharType="separate"/>
      </w:r>
      <w:r w:rsidR="00356F28" w:rsidRPr="00030932">
        <w:rPr>
          <w:rFonts w:ascii="Calibri" w:hAnsi="Calibri" w:cs="Calibri"/>
          <w:sz w:val="16"/>
          <w:szCs w:val="16"/>
        </w:rPr>
        <w:t>Maylea et al (n 33).</w:t>
      </w:r>
      <w:r w:rsidRPr="00030932">
        <w:rPr>
          <w:sz w:val="16"/>
          <w:szCs w:val="16"/>
        </w:rPr>
        <w:fldChar w:fldCharType="end"/>
      </w:r>
    </w:p>
  </w:footnote>
  <w:footnote w:id="215">
    <w:p w14:paraId="68672D15" w14:textId="77777777" w:rsidR="00FF2D2F" w:rsidRPr="00030932" w:rsidRDefault="00FF2D2F" w:rsidP="00FF2D2F">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Style w:val="Emphasis"/>
          <w:rFonts w:cstheme="minorHAnsi"/>
          <w:sz w:val="16"/>
          <w:szCs w:val="16"/>
          <w:shd w:val="clear" w:color="auto" w:fill="FFFFFF"/>
        </w:rPr>
        <w:t>Kracke v Mental Health Review Board </w:t>
      </w:r>
      <w:r w:rsidRPr="00030932">
        <w:rPr>
          <w:rFonts w:cstheme="minorHAnsi"/>
          <w:sz w:val="16"/>
          <w:szCs w:val="16"/>
          <w:shd w:val="clear" w:color="auto" w:fill="FFFFFF"/>
        </w:rPr>
        <w:t>(2009) 29 VAR 1; [2009] VCAT 646 [413]–[418], [437]–[439], [489].</w:t>
      </w:r>
    </w:p>
  </w:footnote>
  <w:footnote w:id="216">
    <w:p w14:paraId="59397683" w14:textId="77777777" w:rsidR="00FF2D2F" w:rsidRPr="00030932" w:rsidRDefault="00FF2D2F" w:rsidP="00FF2D2F">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Style w:val="Emphasis"/>
          <w:rFonts w:cstheme="minorHAnsi"/>
          <w:sz w:val="16"/>
          <w:szCs w:val="16"/>
          <w:shd w:val="clear" w:color="auto" w:fill="FFFFFF"/>
        </w:rPr>
        <w:t>Kracke v Mental Health Review Board </w:t>
      </w:r>
      <w:r w:rsidRPr="00030932">
        <w:rPr>
          <w:rFonts w:cstheme="minorHAnsi"/>
          <w:sz w:val="16"/>
          <w:szCs w:val="16"/>
          <w:shd w:val="clear" w:color="auto" w:fill="FFFFFF"/>
        </w:rPr>
        <w:t>(2009) 29 VAR 1; [2009] VCAT 646 [440]–[446].</w:t>
      </w:r>
    </w:p>
  </w:footnote>
  <w:footnote w:id="217">
    <w:p w14:paraId="0C847169" w14:textId="77777777" w:rsidR="00FF2D2F" w:rsidRPr="00030932" w:rsidRDefault="00FF2D2F" w:rsidP="00FF2D2F">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Style w:val="Emphasis"/>
          <w:rFonts w:cstheme="minorHAnsi"/>
          <w:sz w:val="16"/>
          <w:szCs w:val="16"/>
          <w:shd w:val="clear" w:color="auto" w:fill="FFFFFF"/>
        </w:rPr>
        <w:t>Knight v Wise </w:t>
      </w:r>
      <w:r w:rsidRPr="00030932">
        <w:rPr>
          <w:rFonts w:cstheme="minorHAnsi"/>
          <w:sz w:val="16"/>
          <w:szCs w:val="16"/>
          <w:shd w:val="clear" w:color="auto" w:fill="FFFFFF"/>
        </w:rPr>
        <w:t>[2014] VSC 76 [36].</w:t>
      </w:r>
    </w:p>
  </w:footnote>
  <w:footnote w:id="218">
    <w:p w14:paraId="4FFF793F" w14:textId="77777777" w:rsidR="00FF2D2F" w:rsidRPr="00030932" w:rsidRDefault="00FF2D2F" w:rsidP="00FF2D2F">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Style w:val="Emphasis"/>
          <w:rFonts w:cstheme="minorHAnsi"/>
          <w:sz w:val="16"/>
          <w:szCs w:val="16"/>
        </w:rPr>
        <w:t>Roberts v Harkness</w:t>
      </w:r>
      <w:r w:rsidRPr="00030932">
        <w:rPr>
          <w:rFonts w:cstheme="minorHAnsi"/>
          <w:sz w:val="16"/>
          <w:szCs w:val="16"/>
        </w:rPr>
        <w:t> [2018] VSCA 215 [48].</w:t>
      </w:r>
    </w:p>
  </w:footnote>
  <w:footnote w:id="219">
    <w:p w14:paraId="16DB5742" w14:textId="77777777" w:rsidR="00FF2D2F" w:rsidRPr="00030932" w:rsidRDefault="00FF2D2F" w:rsidP="00FF2D2F">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Style w:val="Emphasis"/>
          <w:rFonts w:cstheme="minorHAnsi"/>
          <w:sz w:val="16"/>
          <w:szCs w:val="16"/>
        </w:rPr>
        <w:t>Roberts v Harkness</w:t>
      </w:r>
      <w:r w:rsidRPr="00030932">
        <w:rPr>
          <w:rFonts w:cstheme="minorHAnsi"/>
          <w:sz w:val="16"/>
          <w:szCs w:val="16"/>
        </w:rPr>
        <w:t> [2018] VSCA 215 [49].</w:t>
      </w:r>
    </w:p>
  </w:footnote>
  <w:footnote w:id="220">
    <w:p w14:paraId="77AF2BA1" w14:textId="77777777" w:rsidR="00FF2D2F" w:rsidRPr="00030932" w:rsidRDefault="00FF2D2F" w:rsidP="00FF2D2F">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Style w:val="Emphasis"/>
          <w:rFonts w:cstheme="minorHAnsi"/>
          <w:sz w:val="16"/>
          <w:szCs w:val="16"/>
        </w:rPr>
        <w:t>Ambridge Investments Pty Ltd (in liq) (recvr app'td) v Baker (No 3)</w:t>
      </w:r>
      <w:r w:rsidRPr="00030932">
        <w:rPr>
          <w:rFonts w:cstheme="minorHAnsi"/>
          <w:sz w:val="16"/>
          <w:szCs w:val="16"/>
        </w:rPr>
        <w:t> [2010] VSC 545 [35]).</w:t>
      </w:r>
    </w:p>
  </w:footnote>
  <w:footnote w:id="221">
    <w:p w14:paraId="2C7C46D1" w14:textId="71B5A42C" w:rsidR="007979E5" w:rsidRPr="00030932" w:rsidRDefault="007979E5">
      <w:pPr>
        <w:pStyle w:val="FootnoteText"/>
        <w:rPr>
          <w:sz w:val="16"/>
          <w:szCs w:val="16"/>
        </w:rPr>
      </w:pPr>
      <w:r w:rsidRPr="00030932">
        <w:rPr>
          <w:rStyle w:val="FootnoteReference"/>
          <w:sz w:val="16"/>
          <w:szCs w:val="16"/>
        </w:rPr>
        <w:footnoteRef/>
      </w:r>
      <w:r w:rsidRPr="00030932">
        <w:rPr>
          <w:sz w:val="16"/>
          <w:szCs w:val="16"/>
        </w:rPr>
        <w:t xml:space="preserve"> </w:t>
      </w:r>
      <w:r w:rsidR="008F63D4" w:rsidRPr="00030932">
        <w:rPr>
          <w:i/>
          <w:iCs/>
          <w:sz w:val="16"/>
          <w:szCs w:val="16"/>
        </w:rPr>
        <w:t>Mental Health Tribunal Rules 2014</w:t>
      </w:r>
    </w:p>
  </w:footnote>
  <w:footnote w:id="222">
    <w:p w14:paraId="12394CB1" w14:textId="093BDCF4" w:rsidR="008C2C11" w:rsidRPr="00030932" w:rsidRDefault="008C2C11">
      <w:pPr>
        <w:pStyle w:val="FootnoteText"/>
        <w:rPr>
          <w:sz w:val="16"/>
          <w:szCs w:val="16"/>
        </w:rPr>
      </w:pPr>
      <w:r w:rsidRPr="00030932">
        <w:rPr>
          <w:rStyle w:val="FootnoteReference"/>
          <w:sz w:val="16"/>
          <w:szCs w:val="16"/>
        </w:rPr>
        <w:footnoteRef/>
      </w:r>
      <w:r w:rsidRPr="00030932">
        <w:rPr>
          <w:sz w:val="16"/>
          <w:szCs w:val="16"/>
        </w:rPr>
        <w:t xml:space="preserve"> </w:t>
      </w:r>
      <w:r w:rsidR="00BD07B5" w:rsidRPr="00030932">
        <w:rPr>
          <w:sz w:val="16"/>
          <w:szCs w:val="16"/>
        </w:rPr>
        <w:fldChar w:fldCharType="begin"/>
      </w:r>
      <w:r w:rsidR="005A3579">
        <w:rPr>
          <w:sz w:val="16"/>
          <w:szCs w:val="16"/>
        </w:rPr>
        <w:instrText xml:space="preserve"> ADDIN ZOTERO_ITEM CSL_CITATION {"citationID":"uSkpk54x","properties":{"formattedCitation":"Victoria Legal Aid (n 325).","plainCitation":"Victoria Legal Aid (n 325).","noteIndex":347},"citationItems":[{"id":55,"uris":["http://zotero.org/users/local/OLPofQUL/items/MXAWCMT9"],"itemData":{"id":55,"type":"report","title":"Roads to recovery: Building a Better System for People Experiencing Mental Health Issues in Victoria","URL":"https://www.legalaid.vic.gov.au/sites/www.legalaid.vic.gov.au/files/vla-submission-roads-to-recovery-july-2019.docx","author":[{"literal":"Victoria Legal Aid"}],"issued":{"date-parts":[["2019"]]}}}],"schema":"https://github.com/citation-style-language/schema/raw/master/csl-citation.json"} </w:instrText>
      </w:r>
      <w:r w:rsidR="00BD07B5" w:rsidRPr="00030932">
        <w:rPr>
          <w:sz w:val="16"/>
          <w:szCs w:val="16"/>
        </w:rPr>
        <w:fldChar w:fldCharType="separate"/>
      </w:r>
      <w:r w:rsidR="005A3579" w:rsidRPr="005A3579">
        <w:rPr>
          <w:rFonts w:ascii="Calibri" w:hAnsi="Calibri" w:cs="Calibri"/>
          <w:sz w:val="16"/>
        </w:rPr>
        <w:t>Victoria Legal Aid (n 325).</w:t>
      </w:r>
      <w:r w:rsidR="00BD07B5" w:rsidRPr="00030932">
        <w:rPr>
          <w:sz w:val="16"/>
          <w:szCs w:val="16"/>
        </w:rPr>
        <w:fldChar w:fldCharType="end"/>
      </w:r>
    </w:p>
  </w:footnote>
  <w:footnote w:id="223">
    <w:p w14:paraId="0585F979" w14:textId="2122E796" w:rsidR="00C17B9C" w:rsidRPr="00030932" w:rsidRDefault="00C17B9C" w:rsidP="00C17B9C">
      <w:pPr>
        <w:pStyle w:val="FootnoteText"/>
        <w:rPr>
          <w:sz w:val="16"/>
          <w:szCs w:val="16"/>
        </w:rPr>
      </w:pPr>
      <w:r w:rsidRPr="00030932">
        <w:rPr>
          <w:rStyle w:val="FootnoteReference"/>
          <w:sz w:val="16"/>
          <w:szCs w:val="16"/>
        </w:rPr>
        <w:footnoteRef/>
      </w:r>
      <w:r w:rsidRPr="00030932">
        <w:rPr>
          <w:sz w:val="16"/>
          <w:szCs w:val="16"/>
        </w:rPr>
        <w:t xml:space="preserve"> </w:t>
      </w:r>
      <w:r w:rsidRPr="00030932">
        <w:rPr>
          <w:sz w:val="16"/>
          <w:szCs w:val="16"/>
        </w:rPr>
        <w:fldChar w:fldCharType="begin"/>
      </w:r>
      <w:r w:rsidR="005A3579">
        <w:rPr>
          <w:sz w:val="16"/>
          <w:szCs w:val="16"/>
        </w:rPr>
        <w:instrText xml:space="preserve"> ADDIN ZOTERO_ITEM CSL_CITATION {"citationID":"0MYa2byh","properties":{"formattedCitation":"Ibid.","plainCitation":"Ibid.","noteIndex":348},"citationItems":[{"id":55,"uris":["http://zotero.org/users/local/OLPofQUL/items/MXAWCMT9"],"itemData":{"id":55,"type":"report","title":"Roads to recovery: Building a Better System for People Experiencing Mental Health Issues in Victoria","URL":"https://www.legalaid.vic.gov.au/sites/www.legalaid.vic.gov.au/files/vla-submission-roads-to-recovery-july-2019.docx","author":[{"literal":"Victoria Legal Aid"}],"issued":{"date-parts":[["2019"]]}}}],"schema":"https://github.com/citation-style-language/schema/raw/master/csl-citation.json"} </w:instrText>
      </w:r>
      <w:r w:rsidRPr="00030932">
        <w:rPr>
          <w:sz w:val="16"/>
          <w:szCs w:val="16"/>
        </w:rPr>
        <w:fldChar w:fldCharType="separate"/>
      </w:r>
      <w:r w:rsidR="00677A39" w:rsidRPr="00030932">
        <w:rPr>
          <w:rFonts w:ascii="Calibri" w:hAnsi="Calibri" w:cs="Calibri"/>
          <w:sz w:val="16"/>
          <w:szCs w:val="16"/>
        </w:rPr>
        <w:t>Ibid.</w:t>
      </w:r>
      <w:r w:rsidRPr="00030932">
        <w:rPr>
          <w:sz w:val="16"/>
          <w:szCs w:val="16"/>
        </w:rPr>
        <w:fldChar w:fldCharType="end"/>
      </w:r>
    </w:p>
  </w:footnote>
  <w:footnote w:id="224">
    <w:p w14:paraId="50FE8D14" w14:textId="77777777" w:rsidR="002D2D0B" w:rsidRPr="00030932" w:rsidRDefault="002D2D0B" w:rsidP="002D2D0B">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rPr>
        <w:t xml:space="preserve">Vaudelle v France </w:t>
      </w:r>
      <w:r w:rsidRPr="00030932">
        <w:rPr>
          <w:rFonts w:cstheme="minorHAnsi"/>
          <w:sz w:val="16"/>
          <w:szCs w:val="16"/>
        </w:rPr>
        <w:t>(2001) ECHR 76 at [65].</w:t>
      </w:r>
    </w:p>
  </w:footnote>
  <w:footnote w:id="225">
    <w:p w14:paraId="660969B4" w14:textId="77777777" w:rsidR="00C172C4" w:rsidRPr="00030932" w:rsidRDefault="00C172C4" w:rsidP="00C172C4">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w:t>
      </w:r>
      <w:r w:rsidRPr="00030932">
        <w:rPr>
          <w:rFonts w:cstheme="minorHAnsi"/>
          <w:i/>
          <w:iCs/>
          <w:sz w:val="16"/>
          <w:szCs w:val="16"/>
        </w:rPr>
        <w:t>Psychology Board of Australia v Ildiri (Occupational and Business Regulation)</w:t>
      </w:r>
      <w:r w:rsidRPr="00030932">
        <w:rPr>
          <w:rFonts w:cstheme="minorHAnsi"/>
          <w:sz w:val="16"/>
          <w:szCs w:val="16"/>
        </w:rPr>
        <w:t xml:space="preserve"> [2011] VCAT 1036 at [33]–[35].</w:t>
      </w:r>
    </w:p>
  </w:footnote>
  <w:footnote w:id="226">
    <w:p w14:paraId="00CFCCF5" w14:textId="758639CC" w:rsidR="00084539" w:rsidRPr="00030932" w:rsidRDefault="00084539">
      <w:pPr>
        <w:pStyle w:val="FootnoteText"/>
        <w:rPr>
          <w:rFonts w:cstheme="minorHAnsi"/>
          <w:sz w:val="16"/>
          <w:szCs w:val="16"/>
        </w:rPr>
      </w:pPr>
      <w:r w:rsidRPr="00030932">
        <w:rPr>
          <w:rStyle w:val="FootnoteReference"/>
          <w:sz w:val="16"/>
          <w:szCs w:val="16"/>
        </w:rPr>
        <w:footnoteRef/>
      </w:r>
      <w:r w:rsidRPr="00030932">
        <w:rPr>
          <w:rFonts w:cstheme="minorHAnsi"/>
          <w:sz w:val="16"/>
          <w:szCs w:val="16"/>
        </w:rPr>
        <w:t xml:space="preserve"> However, other human rights are relevant to this situation, such as whether deprivation of liberty is in accordance with the law, whether the person is receiving humane treatment when deprived of liberty, and whether the person is able to enjoy their human rights without discrimination.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8A9A" w14:textId="25882C6C" w:rsidR="004B1972" w:rsidRDefault="004B1972">
    <w:pPr>
      <w:pStyle w:val="Header"/>
    </w:pPr>
    <w:r w:rsidRPr="000552C6">
      <w:rPr>
        <w:noProof/>
        <w:color w:val="201547"/>
      </w:rPr>
      <mc:AlternateContent>
        <mc:Choice Requires="wps">
          <w:drawing>
            <wp:anchor distT="0" distB="0" distL="114300" distR="114300" simplePos="0" relativeHeight="251658240" behindDoc="0" locked="0" layoutInCell="1" allowOverlap="1" wp14:anchorId="1430107F" wp14:editId="01DD8587">
              <wp:simplePos x="0" y="0"/>
              <wp:positionH relativeFrom="page">
                <wp:posOffset>-69011</wp:posOffset>
              </wp:positionH>
              <wp:positionV relativeFrom="paragraph">
                <wp:posOffset>-441589</wp:posOffset>
              </wp:positionV>
              <wp:extent cx="7620539" cy="403761"/>
              <wp:effectExtent l="0" t="0" r="19050" b="15875"/>
              <wp:wrapNone/>
              <wp:docPr id="2" name="Rectangle 2"/>
              <wp:cNvGraphicFramePr/>
              <a:graphic xmlns:a="http://schemas.openxmlformats.org/drawingml/2006/main">
                <a:graphicData uri="http://schemas.microsoft.com/office/word/2010/wordprocessingShape">
                  <wps:wsp>
                    <wps:cNvSpPr/>
                    <wps:spPr>
                      <a:xfrm>
                        <a:off x="0" y="0"/>
                        <a:ext cx="7620539" cy="403761"/>
                      </a:xfrm>
                      <a:prstGeom prst="rect">
                        <a:avLst/>
                      </a:prstGeom>
                      <a:solidFill>
                        <a:srgbClr val="20154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59CB130" id="Rectangle 2" o:spid="_x0000_s1026" style="position:absolute;margin-left:-5.45pt;margin-top:-34.75pt;width:600.05pt;height:3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" fillcolor="#201547" strokecolor="#1b383a [1604]"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2260" w14:textId="693D7D42" w:rsidR="007509D3" w:rsidRDefault="007509D3">
    <w:pPr>
      <w:pStyle w:val="Header"/>
    </w:pPr>
    <w:r w:rsidRPr="000552C6">
      <w:rPr>
        <w:noProof/>
        <w:color w:val="201547"/>
      </w:rPr>
      <mc:AlternateContent>
        <mc:Choice Requires="wps">
          <w:drawing>
            <wp:anchor distT="0" distB="0" distL="114300" distR="114300" simplePos="0" relativeHeight="251658245" behindDoc="0" locked="0" layoutInCell="1" allowOverlap="1" wp14:anchorId="76FB3499" wp14:editId="71EB4288">
              <wp:simplePos x="0" y="0"/>
              <wp:positionH relativeFrom="page">
                <wp:posOffset>-23495</wp:posOffset>
              </wp:positionH>
              <wp:positionV relativeFrom="paragraph">
                <wp:posOffset>-467360</wp:posOffset>
              </wp:positionV>
              <wp:extent cx="7620539" cy="403761"/>
              <wp:effectExtent l="0" t="0" r="19050" b="15875"/>
              <wp:wrapNone/>
              <wp:docPr id="14" name="Rectangle 14"/>
              <wp:cNvGraphicFramePr/>
              <a:graphic xmlns:a="http://schemas.openxmlformats.org/drawingml/2006/main">
                <a:graphicData uri="http://schemas.microsoft.com/office/word/2010/wordprocessingShape">
                  <wps:wsp>
                    <wps:cNvSpPr/>
                    <wps:spPr>
                      <a:xfrm>
                        <a:off x="0" y="0"/>
                        <a:ext cx="7620539" cy="403761"/>
                      </a:xfrm>
                      <a:prstGeom prst="rect">
                        <a:avLst/>
                      </a:prstGeom>
                      <a:solidFill>
                        <a:srgbClr val="20154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29D5E55" id="Rectangle 14" o:spid="_x0000_s1026" style="position:absolute;margin-left:-1.85pt;margin-top:-36.8pt;width:600.05pt;height:31.8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" fillcolor="#201547" strokecolor="#1b383a [1604]"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08BA" w14:textId="19E75122" w:rsidR="00CE09F7" w:rsidRDefault="00C52B08">
    <w:pPr>
      <w:pStyle w:val="Header"/>
    </w:pPr>
    <w:r w:rsidRPr="000552C6">
      <w:rPr>
        <w:noProof/>
        <w:color w:val="201547"/>
      </w:rPr>
      <mc:AlternateContent>
        <mc:Choice Requires="wps">
          <w:drawing>
            <wp:anchor distT="0" distB="0" distL="114300" distR="114300" simplePos="0" relativeHeight="251658246" behindDoc="0" locked="0" layoutInCell="1" allowOverlap="1" wp14:anchorId="5A203528" wp14:editId="521BC4EA">
              <wp:simplePos x="0" y="0"/>
              <wp:positionH relativeFrom="page">
                <wp:align>left</wp:align>
              </wp:positionH>
              <wp:positionV relativeFrom="paragraph">
                <wp:posOffset>-448323</wp:posOffset>
              </wp:positionV>
              <wp:extent cx="7620539" cy="403761"/>
              <wp:effectExtent l="0" t="0" r="19050" b="15875"/>
              <wp:wrapNone/>
              <wp:docPr id="255" name="Rectangle 255"/>
              <wp:cNvGraphicFramePr/>
              <a:graphic xmlns:a="http://schemas.openxmlformats.org/drawingml/2006/main">
                <a:graphicData uri="http://schemas.microsoft.com/office/word/2010/wordprocessingShape">
                  <wps:wsp>
                    <wps:cNvSpPr/>
                    <wps:spPr>
                      <a:xfrm>
                        <a:off x="0" y="0"/>
                        <a:ext cx="7620539" cy="403761"/>
                      </a:xfrm>
                      <a:prstGeom prst="rect">
                        <a:avLst/>
                      </a:prstGeom>
                      <a:solidFill>
                        <a:srgbClr val="20154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96A00A2" id="Rectangle 255" o:spid="_x0000_s1026" style="position:absolute;margin-left:0;margin-top:-35.3pt;width:600.05pt;height:31.8pt;z-index:25166029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" fillcolor="#201547" strokecolor="#1b383a [1604]" strokeweight="1pt">
              <w10:wrap anchorx="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D92" w14:textId="77777777" w:rsidR="00CE09F7" w:rsidRDefault="00CE0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C0D6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A3D3A"/>
    <w:multiLevelType w:val="hybridMultilevel"/>
    <w:tmpl w:val="D250E6BE"/>
    <w:lvl w:ilvl="0" w:tplc="EAB004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54728CD"/>
    <w:multiLevelType w:val="hybridMultilevel"/>
    <w:tmpl w:val="038EB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418DB"/>
    <w:multiLevelType w:val="hybridMultilevel"/>
    <w:tmpl w:val="38D2313C"/>
    <w:lvl w:ilvl="0" w:tplc="BFEC6B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2009D3"/>
    <w:multiLevelType w:val="hybridMultilevel"/>
    <w:tmpl w:val="63042666"/>
    <w:lvl w:ilvl="0" w:tplc="1BFE2FDA">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D36D94"/>
    <w:multiLevelType w:val="hybridMultilevel"/>
    <w:tmpl w:val="7C681222"/>
    <w:lvl w:ilvl="0" w:tplc="B0B0DC3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F317749"/>
    <w:multiLevelType w:val="hybridMultilevel"/>
    <w:tmpl w:val="3D7E9DEE"/>
    <w:lvl w:ilvl="0" w:tplc="106A2B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5876BE"/>
    <w:multiLevelType w:val="hybridMultilevel"/>
    <w:tmpl w:val="580EA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93546"/>
    <w:multiLevelType w:val="hybridMultilevel"/>
    <w:tmpl w:val="12D00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C9187A"/>
    <w:multiLevelType w:val="hybridMultilevel"/>
    <w:tmpl w:val="DFA2D2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477BD9"/>
    <w:multiLevelType w:val="hybridMultilevel"/>
    <w:tmpl w:val="6EF2A802"/>
    <w:lvl w:ilvl="0" w:tplc="00C6EC3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B60230"/>
    <w:multiLevelType w:val="hybridMultilevel"/>
    <w:tmpl w:val="C442C360"/>
    <w:lvl w:ilvl="0" w:tplc="B0C896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C10AEB"/>
    <w:multiLevelType w:val="hybridMultilevel"/>
    <w:tmpl w:val="5AA4AE10"/>
    <w:lvl w:ilvl="0" w:tplc="BF36259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69C64D1"/>
    <w:multiLevelType w:val="hybridMultilevel"/>
    <w:tmpl w:val="F94A5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D74F3C"/>
    <w:multiLevelType w:val="hybridMultilevel"/>
    <w:tmpl w:val="EAD21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EE6E85"/>
    <w:multiLevelType w:val="hybridMultilevel"/>
    <w:tmpl w:val="66544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944072"/>
    <w:multiLevelType w:val="hybridMultilevel"/>
    <w:tmpl w:val="B19A13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C92B15"/>
    <w:multiLevelType w:val="hybridMultilevel"/>
    <w:tmpl w:val="43C68BD8"/>
    <w:lvl w:ilvl="0" w:tplc="484C0B6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2425906"/>
    <w:multiLevelType w:val="hybridMultilevel"/>
    <w:tmpl w:val="71183AD6"/>
    <w:lvl w:ilvl="0" w:tplc="9BAA3E50">
      <w:start w:val="1"/>
      <w:numFmt w:val="decimal"/>
      <w:lvlText w:val="%1."/>
      <w:lvlJc w:val="left"/>
      <w:pPr>
        <w:ind w:left="360" w:hanging="360"/>
      </w:pPr>
      <w:rPr>
        <w:rFonts w:hint="default"/>
        <w:color w:val="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557135"/>
    <w:multiLevelType w:val="hybridMultilevel"/>
    <w:tmpl w:val="99B07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793F4B"/>
    <w:multiLevelType w:val="hybridMultilevel"/>
    <w:tmpl w:val="05ACD468"/>
    <w:lvl w:ilvl="0" w:tplc="0C090001">
      <w:start w:val="1"/>
      <w:numFmt w:val="bullet"/>
      <w:lvlText w:val=""/>
      <w:lvlJc w:val="left"/>
      <w:pPr>
        <w:ind w:left="360" w:hanging="360"/>
      </w:pPr>
      <w:rPr>
        <w:rFonts w:ascii="Symbol" w:hAnsi="Symbol" w:hint="default"/>
        <w:sz w:val="28"/>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393C604C"/>
    <w:multiLevelType w:val="hybridMultilevel"/>
    <w:tmpl w:val="41583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6A663D"/>
    <w:multiLevelType w:val="hybridMultilevel"/>
    <w:tmpl w:val="E4B4520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3" w15:restartNumberingAfterBreak="0">
    <w:nsid w:val="3AAC182C"/>
    <w:multiLevelType w:val="hybridMultilevel"/>
    <w:tmpl w:val="AD7296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F5D1037"/>
    <w:multiLevelType w:val="hybridMultilevel"/>
    <w:tmpl w:val="9A7C1B58"/>
    <w:lvl w:ilvl="0" w:tplc="817C12A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D76CA0"/>
    <w:multiLevelType w:val="hybridMultilevel"/>
    <w:tmpl w:val="F3EAF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E31FA2"/>
    <w:multiLevelType w:val="hybridMultilevel"/>
    <w:tmpl w:val="8FA2A768"/>
    <w:lvl w:ilvl="0" w:tplc="9B0A4A4A">
      <w:start w:val="1"/>
      <w:numFmt w:val="decimal"/>
      <w:pStyle w:val="LHCrecommendationtex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52E4905"/>
    <w:multiLevelType w:val="hybridMultilevel"/>
    <w:tmpl w:val="374CEC0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8" w15:restartNumberingAfterBreak="0">
    <w:nsid w:val="46086834"/>
    <w:multiLevelType w:val="hybridMultilevel"/>
    <w:tmpl w:val="E62CD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03083A"/>
    <w:multiLevelType w:val="hybridMultilevel"/>
    <w:tmpl w:val="8482D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140B8B"/>
    <w:multiLevelType w:val="hybridMultilevel"/>
    <w:tmpl w:val="12022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A06D2E"/>
    <w:multiLevelType w:val="hybridMultilevel"/>
    <w:tmpl w:val="1EF88790"/>
    <w:lvl w:ilvl="0" w:tplc="73EC95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F914388"/>
    <w:multiLevelType w:val="hybridMultilevel"/>
    <w:tmpl w:val="1EF4C8B4"/>
    <w:lvl w:ilvl="0" w:tplc="45FE966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05170EE"/>
    <w:multiLevelType w:val="hybridMultilevel"/>
    <w:tmpl w:val="7F78C1DE"/>
    <w:lvl w:ilvl="0" w:tplc="5B0C67C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3FF1C93"/>
    <w:multiLevelType w:val="hybridMultilevel"/>
    <w:tmpl w:val="AFE6BA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E83171B"/>
    <w:multiLevelType w:val="hybridMultilevel"/>
    <w:tmpl w:val="3150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DA4C8E"/>
    <w:multiLevelType w:val="hybridMultilevel"/>
    <w:tmpl w:val="3F8A0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5C2189"/>
    <w:multiLevelType w:val="hybridMultilevel"/>
    <w:tmpl w:val="5BA8C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004D6E"/>
    <w:multiLevelType w:val="hybridMultilevel"/>
    <w:tmpl w:val="81FE6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0C0E8E"/>
    <w:multiLevelType w:val="hybridMultilevel"/>
    <w:tmpl w:val="35AEC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57512D"/>
    <w:multiLevelType w:val="hybridMultilevel"/>
    <w:tmpl w:val="011ABC68"/>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41" w15:restartNumberingAfterBreak="0">
    <w:nsid w:val="6C7922DC"/>
    <w:multiLevelType w:val="hybridMultilevel"/>
    <w:tmpl w:val="3926DB36"/>
    <w:lvl w:ilvl="0" w:tplc="0C09000F">
      <w:start w:val="1"/>
      <w:numFmt w:val="decimal"/>
      <w:lvlText w:val="%1."/>
      <w:lvlJc w:val="left"/>
      <w:pPr>
        <w:ind w:left="720" w:hanging="360"/>
      </w:pPr>
      <w:rPr>
        <w:rFonts w:hint="default"/>
      </w:rPr>
    </w:lvl>
    <w:lvl w:ilvl="1" w:tplc="626642D0">
      <w:start w:val="1"/>
      <w:numFmt w:val="lowerLetter"/>
      <w:pStyle w:val="LHCletteredsub-point"/>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CA532BD"/>
    <w:multiLevelType w:val="hybridMultilevel"/>
    <w:tmpl w:val="6614A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437457"/>
    <w:multiLevelType w:val="hybridMultilevel"/>
    <w:tmpl w:val="42B6AD7C"/>
    <w:lvl w:ilvl="0" w:tplc="FAA8C31E">
      <w:start w:val="1"/>
      <w:numFmt w:val="decimal"/>
      <w:pStyle w:val="Report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0996732"/>
    <w:multiLevelType w:val="hybridMultilevel"/>
    <w:tmpl w:val="4998DDBE"/>
    <w:lvl w:ilvl="0" w:tplc="CE288F1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74D32328"/>
    <w:multiLevelType w:val="hybridMultilevel"/>
    <w:tmpl w:val="C7E2A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545F7D"/>
    <w:multiLevelType w:val="hybridMultilevel"/>
    <w:tmpl w:val="52F84B40"/>
    <w:lvl w:ilvl="0" w:tplc="166EFE9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7B437C76"/>
    <w:multiLevelType w:val="hybridMultilevel"/>
    <w:tmpl w:val="078850E4"/>
    <w:lvl w:ilvl="0" w:tplc="886E4D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EDC1CD9"/>
    <w:multiLevelType w:val="hybridMultilevel"/>
    <w:tmpl w:val="F454C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192AE2"/>
    <w:multiLevelType w:val="hybridMultilevel"/>
    <w:tmpl w:val="B45EED84"/>
    <w:lvl w:ilvl="0" w:tplc="F544D75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95781237">
    <w:abstractNumId w:val="4"/>
  </w:num>
  <w:num w:numId="2" w16cid:durableId="1850171654">
    <w:abstractNumId w:val="0"/>
  </w:num>
  <w:num w:numId="3" w16cid:durableId="1071931888">
    <w:abstractNumId w:val="43"/>
  </w:num>
  <w:num w:numId="4" w16cid:durableId="1264076259">
    <w:abstractNumId w:val="41"/>
  </w:num>
  <w:num w:numId="5" w16cid:durableId="594673695">
    <w:abstractNumId w:val="26"/>
  </w:num>
  <w:num w:numId="6" w16cid:durableId="1929726223">
    <w:abstractNumId w:val="7"/>
  </w:num>
  <w:num w:numId="7" w16cid:durableId="437678698">
    <w:abstractNumId w:val="33"/>
  </w:num>
  <w:num w:numId="8" w16cid:durableId="1558276692">
    <w:abstractNumId w:val="44"/>
  </w:num>
  <w:num w:numId="9" w16cid:durableId="821965716">
    <w:abstractNumId w:val="6"/>
  </w:num>
  <w:num w:numId="10" w16cid:durableId="2029864306">
    <w:abstractNumId w:val="37"/>
  </w:num>
  <w:num w:numId="11" w16cid:durableId="2120679475">
    <w:abstractNumId w:val="16"/>
  </w:num>
  <w:num w:numId="12" w16cid:durableId="1015114581">
    <w:abstractNumId w:val="8"/>
  </w:num>
  <w:num w:numId="13" w16cid:durableId="2091733150">
    <w:abstractNumId w:val="49"/>
  </w:num>
  <w:num w:numId="14" w16cid:durableId="1443915713">
    <w:abstractNumId w:val="32"/>
  </w:num>
  <w:num w:numId="15" w16cid:durableId="1824545233">
    <w:abstractNumId w:val="10"/>
  </w:num>
  <w:num w:numId="16" w16cid:durableId="1164666455">
    <w:abstractNumId w:val="12"/>
  </w:num>
  <w:num w:numId="17" w16cid:durableId="1345740322">
    <w:abstractNumId w:val="46"/>
  </w:num>
  <w:num w:numId="18" w16cid:durableId="759570452">
    <w:abstractNumId w:val="3"/>
  </w:num>
  <w:num w:numId="19" w16cid:durableId="1702242154">
    <w:abstractNumId w:val="31"/>
  </w:num>
  <w:num w:numId="20" w16cid:durableId="1338462397">
    <w:abstractNumId w:val="19"/>
  </w:num>
  <w:num w:numId="21" w16cid:durableId="949629211">
    <w:abstractNumId w:val="17"/>
  </w:num>
  <w:num w:numId="22" w16cid:durableId="1908219931">
    <w:abstractNumId w:val="5"/>
  </w:num>
  <w:num w:numId="23" w16cid:durableId="1084110826">
    <w:abstractNumId w:val="24"/>
  </w:num>
  <w:num w:numId="24" w16cid:durableId="1104690416">
    <w:abstractNumId w:val="1"/>
  </w:num>
  <w:num w:numId="25" w16cid:durableId="1810125225">
    <w:abstractNumId w:val="11"/>
  </w:num>
  <w:num w:numId="26" w16cid:durableId="2044865008">
    <w:abstractNumId w:val="21"/>
  </w:num>
  <w:num w:numId="27" w16cid:durableId="475614160">
    <w:abstractNumId w:val="36"/>
  </w:num>
  <w:num w:numId="28" w16cid:durableId="177354178">
    <w:abstractNumId w:val="48"/>
  </w:num>
  <w:num w:numId="29" w16cid:durableId="867253164">
    <w:abstractNumId w:val="2"/>
  </w:num>
  <w:num w:numId="30" w16cid:durableId="183173769">
    <w:abstractNumId w:val="42"/>
  </w:num>
  <w:num w:numId="31" w16cid:durableId="1226985849">
    <w:abstractNumId w:val="9"/>
  </w:num>
  <w:num w:numId="32" w16cid:durableId="1785032352">
    <w:abstractNumId w:val="23"/>
  </w:num>
  <w:num w:numId="33" w16cid:durableId="145903563">
    <w:abstractNumId w:val="34"/>
  </w:num>
  <w:num w:numId="34" w16cid:durableId="1068306066">
    <w:abstractNumId w:val="18"/>
  </w:num>
  <w:num w:numId="35" w16cid:durableId="2061587019">
    <w:abstractNumId w:val="20"/>
  </w:num>
  <w:num w:numId="36" w16cid:durableId="1735929804">
    <w:abstractNumId w:val="40"/>
  </w:num>
  <w:num w:numId="37" w16cid:durableId="371536873">
    <w:abstractNumId w:val="22"/>
  </w:num>
  <w:num w:numId="38" w16cid:durableId="1501894975">
    <w:abstractNumId w:val="25"/>
  </w:num>
  <w:num w:numId="39" w16cid:durableId="655885791">
    <w:abstractNumId w:val="45"/>
  </w:num>
  <w:num w:numId="40" w16cid:durableId="708534670">
    <w:abstractNumId w:val="38"/>
  </w:num>
  <w:num w:numId="41" w16cid:durableId="889614167">
    <w:abstractNumId w:val="13"/>
  </w:num>
  <w:num w:numId="42" w16cid:durableId="419454259">
    <w:abstractNumId w:val="15"/>
  </w:num>
  <w:num w:numId="43" w16cid:durableId="845483871">
    <w:abstractNumId w:val="35"/>
  </w:num>
  <w:num w:numId="44" w16cid:durableId="1610160511">
    <w:abstractNumId w:val="30"/>
  </w:num>
  <w:num w:numId="45" w16cid:durableId="301469814">
    <w:abstractNumId w:val="27"/>
  </w:num>
  <w:num w:numId="46" w16cid:durableId="557975964">
    <w:abstractNumId w:val="47"/>
  </w:num>
  <w:num w:numId="47" w16cid:durableId="1112044466">
    <w:abstractNumId w:val="28"/>
  </w:num>
  <w:num w:numId="48" w16cid:durableId="680469376">
    <w:abstractNumId w:val="14"/>
  </w:num>
  <w:num w:numId="49" w16cid:durableId="206575065">
    <w:abstractNumId w:val="39"/>
  </w:num>
  <w:num w:numId="50" w16cid:durableId="282462176">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xMjYxNDS2MDA3MDJW0lEKTi0uzszPAykwNq4FAKCu/mMtAAAA"/>
  </w:docVars>
  <w:rsids>
    <w:rsidRoot w:val="004B1972"/>
    <w:rsid w:val="0000067C"/>
    <w:rsid w:val="00000BD4"/>
    <w:rsid w:val="0000145F"/>
    <w:rsid w:val="0000174D"/>
    <w:rsid w:val="00001D8A"/>
    <w:rsid w:val="000024C9"/>
    <w:rsid w:val="00002509"/>
    <w:rsid w:val="00002C8B"/>
    <w:rsid w:val="00002CB9"/>
    <w:rsid w:val="000030FD"/>
    <w:rsid w:val="0000316C"/>
    <w:rsid w:val="00003367"/>
    <w:rsid w:val="000034BA"/>
    <w:rsid w:val="00003547"/>
    <w:rsid w:val="00003880"/>
    <w:rsid w:val="00003DC8"/>
    <w:rsid w:val="00005413"/>
    <w:rsid w:val="00005668"/>
    <w:rsid w:val="0000568B"/>
    <w:rsid w:val="00005DB1"/>
    <w:rsid w:val="000068BF"/>
    <w:rsid w:val="00007374"/>
    <w:rsid w:val="000107C4"/>
    <w:rsid w:val="00010840"/>
    <w:rsid w:val="00010927"/>
    <w:rsid w:val="00010DC5"/>
    <w:rsid w:val="00011282"/>
    <w:rsid w:val="000112D9"/>
    <w:rsid w:val="00011D76"/>
    <w:rsid w:val="00011EB9"/>
    <w:rsid w:val="00012054"/>
    <w:rsid w:val="00012650"/>
    <w:rsid w:val="00012A6E"/>
    <w:rsid w:val="00012DBA"/>
    <w:rsid w:val="00012F3C"/>
    <w:rsid w:val="00013198"/>
    <w:rsid w:val="00013457"/>
    <w:rsid w:val="00013498"/>
    <w:rsid w:val="00014768"/>
    <w:rsid w:val="00014A74"/>
    <w:rsid w:val="00014B85"/>
    <w:rsid w:val="00014E0E"/>
    <w:rsid w:val="000156C1"/>
    <w:rsid w:val="00015E62"/>
    <w:rsid w:val="0001674D"/>
    <w:rsid w:val="00016FC1"/>
    <w:rsid w:val="000175A5"/>
    <w:rsid w:val="0001782B"/>
    <w:rsid w:val="00017951"/>
    <w:rsid w:val="00017C60"/>
    <w:rsid w:val="00017E0E"/>
    <w:rsid w:val="000204A0"/>
    <w:rsid w:val="00021098"/>
    <w:rsid w:val="00021187"/>
    <w:rsid w:val="00021503"/>
    <w:rsid w:val="0002156B"/>
    <w:rsid w:val="000216FF"/>
    <w:rsid w:val="000217A5"/>
    <w:rsid w:val="00022296"/>
    <w:rsid w:val="000222D2"/>
    <w:rsid w:val="0002325C"/>
    <w:rsid w:val="000232B9"/>
    <w:rsid w:val="000238D8"/>
    <w:rsid w:val="00023925"/>
    <w:rsid w:val="00023B46"/>
    <w:rsid w:val="000243A2"/>
    <w:rsid w:val="000245B4"/>
    <w:rsid w:val="000248D8"/>
    <w:rsid w:val="00024AFD"/>
    <w:rsid w:val="000253B9"/>
    <w:rsid w:val="00025657"/>
    <w:rsid w:val="00025A42"/>
    <w:rsid w:val="00026027"/>
    <w:rsid w:val="00026308"/>
    <w:rsid w:val="00026663"/>
    <w:rsid w:val="00026881"/>
    <w:rsid w:val="00026CAA"/>
    <w:rsid w:val="000279F8"/>
    <w:rsid w:val="00030197"/>
    <w:rsid w:val="000307A0"/>
    <w:rsid w:val="00030932"/>
    <w:rsid w:val="00030998"/>
    <w:rsid w:val="00030C48"/>
    <w:rsid w:val="00030CD4"/>
    <w:rsid w:val="00030FBF"/>
    <w:rsid w:val="0003145C"/>
    <w:rsid w:val="00031514"/>
    <w:rsid w:val="00031525"/>
    <w:rsid w:val="00031AD1"/>
    <w:rsid w:val="00031F55"/>
    <w:rsid w:val="00032937"/>
    <w:rsid w:val="00032E18"/>
    <w:rsid w:val="0003317B"/>
    <w:rsid w:val="00033328"/>
    <w:rsid w:val="00033830"/>
    <w:rsid w:val="00033DD9"/>
    <w:rsid w:val="000340D5"/>
    <w:rsid w:val="00034822"/>
    <w:rsid w:val="00035190"/>
    <w:rsid w:val="00035312"/>
    <w:rsid w:val="00035332"/>
    <w:rsid w:val="000355ED"/>
    <w:rsid w:val="00035E53"/>
    <w:rsid w:val="000363E8"/>
    <w:rsid w:val="000369BB"/>
    <w:rsid w:val="00036A61"/>
    <w:rsid w:val="0003716E"/>
    <w:rsid w:val="0004002B"/>
    <w:rsid w:val="00040902"/>
    <w:rsid w:val="000412AE"/>
    <w:rsid w:val="000414AD"/>
    <w:rsid w:val="0004158D"/>
    <w:rsid w:val="000415ED"/>
    <w:rsid w:val="00041B40"/>
    <w:rsid w:val="00041BE0"/>
    <w:rsid w:val="0004216C"/>
    <w:rsid w:val="0004268D"/>
    <w:rsid w:val="000429FD"/>
    <w:rsid w:val="00044251"/>
    <w:rsid w:val="000447C5"/>
    <w:rsid w:val="000449D4"/>
    <w:rsid w:val="00044C41"/>
    <w:rsid w:val="00044ECC"/>
    <w:rsid w:val="000450E5"/>
    <w:rsid w:val="000452C1"/>
    <w:rsid w:val="00045481"/>
    <w:rsid w:val="00045F74"/>
    <w:rsid w:val="000463F8"/>
    <w:rsid w:val="0004692C"/>
    <w:rsid w:val="00047154"/>
    <w:rsid w:val="00047518"/>
    <w:rsid w:val="0004762D"/>
    <w:rsid w:val="000477FE"/>
    <w:rsid w:val="00047B4E"/>
    <w:rsid w:val="00047D2D"/>
    <w:rsid w:val="000501A4"/>
    <w:rsid w:val="00050A39"/>
    <w:rsid w:val="00050D37"/>
    <w:rsid w:val="000513D0"/>
    <w:rsid w:val="00051ADC"/>
    <w:rsid w:val="00051CB0"/>
    <w:rsid w:val="000529FD"/>
    <w:rsid w:val="00052DD6"/>
    <w:rsid w:val="00052FD9"/>
    <w:rsid w:val="000536CE"/>
    <w:rsid w:val="000545C2"/>
    <w:rsid w:val="00054A97"/>
    <w:rsid w:val="00054E7D"/>
    <w:rsid w:val="000551ED"/>
    <w:rsid w:val="000552C6"/>
    <w:rsid w:val="00055486"/>
    <w:rsid w:val="00055667"/>
    <w:rsid w:val="00055A05"/>
    <w:rsid w:val="00055E23"/>
    <w:rsid w:val="00055F25"/>
    <w:rsid w:val="00055F35"/>
    <w:rsid w:val="0005665C"/>
    <w:rsid w:val="000578FB"/>
    <w:rsid w:val="00060390"/>
    <w:rsid w:val="0006074D"/>
    <w:rsid w:val="00060909"/>
    <w:rsid w:val="000616E7"/>
    <w:rsid w:val="000618FB"/>
    <w:rsid w:val="00061A5C"/>
    <w:rsid w:val="00062009"/>
    <w:rsid w:val="000620FE"/>
    <w:rsid w:val="000627FD"/>
    <w:rsid w:val="00062A30"/>
    <w:rsid w:val="00062D55"/>
    <w:rsid w:val="0006317A"/>
    <w:rsid w:val="000634FF"/>
    <w:rsid w:val="000638C1"/>
    <w:rsid w:val="000639F0"/>
    <w:rsid w:val="00063AC6"/>
    <w:rsid w:val="00063D92"/>
    <w:rsid w:val="00064C60"/>
    <w:rsid w:val="00065023"/>
    <w:rsid w:val="00065137"/>
    <w:rsid w:val="00065219"/>
    <w:rsid w:val="00065559"/>
    <w:rsid w:val="00066A46"/>
    <w:rsid w:val="000672B8"/>
    <w:rsid w:val="00067513"/>
    <w:rsid w:val="000676B2"/>
    <w:rsid w:val="00067EF0"/>
    <w:rsid w:val="0007027E"/>
    <w:rsid w:val="00070A45"/>
    <w:rsid w:val="00070A4D"/>
    <w:rsid w:val="00070E14"/>
    <w:rsid w:val="0007102D"/>
    <w:rsid w:val="000712B7"/>
    <w:rsid w:val="000713F7"/>
    <w:rsid w:val="00071E14"/>
    <w:rsid w:val="00072BFB"/>
    <w:rsid w:val="000739E6"/>
    <w:rsid w:val="00073A89"/>
    <w:rsid w:val="00073CB8"/>
    <w:rsid w:val="00074374"/>
    <w:rsid w:val="000743F4"/>
    <w:rsid w:val="00074455"/>
    <w:rsid w:val="000745F3"/>
    <w:rsid w:val="00076DF1"/>
    <w:rsid w:val="00077882"/>
    <w:rsid w:val="00077909"/>
    <w:rsid w:val="00077B0A"/>
    <w:rsid w:val="00077BEA"/>
    <w:rsid w:val="0008040B"/>
    <w:rsid w:val="00080E29"/>
    <w:rsid w:val="00081905"/>
    <w:rsid w:val="00081983"/>
    <w:rsid w:val="00081AE3"/>
    <w:rsid w:val="00081EFC"/>
    <w:rsid w:val="00082001"/>
    <w:rsid w:val="0008218A"/>
    <w:rsid w:val="00082228"/>
    <w:rsid w:val="00082772"/>
    <w:rsid w:val="00082EA0"/>
    <w:rsid w:val="00082EAB"/>
    <w:rsid w:val="00082F79"/>
    <w:rsid w:val="000831F0"/>
    <w:rsid w:val="000833CC"/>
    <w:rsid w:val="00083C58"/>
    <w:rsid w:val="00083EE1"/>
    <w:rsid w:val="000842D8"/>
    <w:rsid w:val="00084365"/>
    <w:rsid w:val="000844E2"/>
    <w:rsid w:val="00084539"/>
    <w:rsid w:val="00084B58"/>
    <w:rsid w:val="00084BE5"/>
    <w:rsid w:val="00084D7D"/>
    <w:rsid w:val="00084F0F"/>
    <w:rsid w:val="00085056"/>
    <w:rsid w:val="0008525D"/>
    <w:rsid w:val="00085495"/>
    <w:rsid w:val="0008629D"/>
    <w:rsid w:val="00086590"/>
    <w:rsid w:val="00086615"/>
    <w:rsid w:val="000867C5"/>
    <w:rsid w:val="0008727D"/>
    <w:rsid w:val="00087C5A"/>
    <w:rsid w:val="00090279"/>
    <w:rsid w:val="00090502"/>
    <w:rsid w:val="000905B3"/>
    <w:rsid w:val="00090647"/>
    <w:rsid w:val="00090B53"/>
    <w:rsid w:val="00090BC4"/>
    <w:rsid w:val="00090EA1"/>
    <w:rsid w:val="00091271"/>
    <w:rsid w:val="0009133C"/>
    <w:rsid w:val="0009146A"/>
    <w:rsid w:val="00091FB6"/>
    <w:rsid w:val="000922BA"/>
    <w:rsid w:val="000924FA"/>
    <w:rsid w:val="00092729"/>
    <w:rsid w:val="00092F77"/>
    <w:rsid w:val="00093355"/>
    <w:rsid w:val="00093A00"/>
    <w:rsid w:val="00093C43"/>
    <w:rsid w:val="00093C51"/>
    <w:rsid w:val="0009443A"/>
    <w:rsid w:val="000948C6"/>
    <w:rsid w:val="00094A89"/>
    <w:rsid w:val="00094F3F"/>
    <w:rsid w:val="00095144"/>
    <w:rsid w:val="000956CD"/>
    <w:rsid w:val="00095948"/>
    <w:rsid w:val="0009654F"/>
    <w:rsid w:val="0009656C"/>
    <w:rsid w:val="00096B59"/>
    <w:rsid w:val="000976BB"/>
    <w:rsid w:val="00097903"/>
    <w:rsid w:val="00097A12"/>
    <w:rsid w:val="000A0102"/>
    <w:rsid w:val="000A08BF"/>
    <w:rsid w:val="000A0BCC"/>
    <w:rsid w:val="000A2265"/>
    <w:rsid w:val="000A2470"/>
    <w:rsid w:val="000A2499"/>
    <w:rsid w:val="000A257B"/>
    <w:rsid w:val="000A304E"/>
    <w:rsid w:val="000A39DC"/>
    <w:rsid w:val="000A3EDF"/>
    <w:rsid w:val="000A3F61"/>
    <w:rsid w:val="000A4215"/>
    <w:rsid w:val="000A4CB9"/>
    <w:rsid w:val="000A6036"/>
    <w:rsid w:val="000A6419"/>
    <w:rsid w:val="000A6698"/>
    <w:rsid w:val="000A697D"/>
    <w:rsid w:val="000A6CE1"/>
    <w:rsid w:val="000A6E4A"/>
    <w:rsid w:val="000A76DC"/>
    <w:rsid w:val="000A78F0"/>
    <w:rsid w:val="000A7B05"/>
    <w:rsid w:val="000A7E52"/>
    <w:rsid w:val="000B0EE8"/>
    <w:rsid w:val="000B0F28"/>
    <w:rsid w:val="000B1318"/>
    <w:rsid w:val="000B14AB"/>
    <w:rsid w:val="000B1572"/>
    <w:rsid w:val="000B168F"/>
    <w:rsid w:val="000B16D9"/>
    <w:rsid w:val="000B17D7"/>
    <w:rsid w:val="000B17F1"/>
    <w:rsid w:val="000B2DAB"/>
    <w:rsid w:val="000B30C8"/>
    <w:rsid w:val="000B3919"/>
    <w:rsid w:val="000B3CBF"/>
    <w:rsid w:val="000B3F7A"/>
    <w:rsid w:val="000B42FD"/>
    <w:rsid w:val="000B493A"/>
    <w:rsid w:val="000B53E2"/>
    <w:rsid w:val="000B5CFA"/>
    <w:rsid w:val="000B5D01"/>
    <w:rsid w:val="000B6076"/>
    <w:rsid w:val="000B634A"/>
    <w:rsid w:val="000B6376"/>
    <w:rsid w:val="000B64AB"/>
    <w:rsid w:val="000B652D"/>
    <w:rsid w:val="000B6572"/>
    <w:rsid w:val="000B6C17"/>
    <w:rsid w:val="000B7536"/>
    <w:rsid w:val="000B77C7"/>
    <w:rsid w:val="000B7A8C"/>
    <w:rsid w:val="000C021F"/>
    <w:rsid w:val="000C050D"/>
    <w:rsid w:val="000C077E"/>
    <w:rsid w:val="000C150E"/>
    <w:rsid w:val="000C1695"/>
    <w:rsid w:val="000C191C"/>
    <w:rsid w:val="000C21B2"/>
    <w:rsid w:val="000C2C1B"/>
    <w:rsid w:val="000C3A16"/>
    <w:rsid w:val="000C487B"/>
    <w:rsid w:val="000C49E6"/>
    <w:rsid w:val="000C4C5D"/>
    <w:rsid w:val="000C4ED6"/>
    <w:rsid w:val="000C5447"/>
    <w:rsid w:val="000C5498"/>
    <w:rsid w:val="000C59B3"/>
    <w:rsid w:val="000C60C5"/>
    <w:rsid w:val="000C6ABE"/>
    <w:rsid w:val="000C6C44"/>
    <w:rsid w:val="000C6C4E"/>
    <w:rsid w:val="000C6DB9"/>
    <w:rsid w:val="000C6E77"/>
    <w:rsid w:val="000C6EE7"/>
    <w:rsid w:val="000C735C"/>
    <w:rsid w:val="000C7BE5"/>
    <w:rsid w:val="000D19C6"/>
    <w:rsid w:val="000D1FA6"/>
    <w:rsid w:val="000D32E5"/>
    <w:rsid w:val="000D3D73"/>
    <w:rsid w:val="000D3EBB"/>
    <w:rsid w:val="000D4A8F"/>
    <w:rsid w:val="000D4BBE"/>
    <w:rsid w:val="000D5061"/>
    <w:rsid w:val="000D5245"/>
    <w:rsid w:val="000D525B"/>
    <w:rsid w:val="000D5BCB"/>
    <w:rsid w:val="000D6625"/>
    <w:rsid w:val="000D6D3D"/>
    <w:rsid w:val="000D6DE8"/>
    <w:rsid w:val="000D702A"/>
    <w:rsid w:val="000D795A"/>
    <w:rsid w:val="000E0248"/>
    <w:rsid w:val="000E0681"/>
    <w:rsid w:val="000E0951"/>
    <w:rsid w:val="000E0D4D"/>
    <w:rsid w:val="000E0DD2"/>
    <w:rsid w:val="000E0FCD"/>
    <w:rsid w:val="000E11C1"/>
    <w:rsid w:val="000E16C7"/>
    <w:rsid w:val="000E1887"/>
    <w:rsid w:val="000E1C63"/>
    <w:rsid w:val="000E2034"/>
    <w:rsid w:val="000E31DB"/>
    <w:rsid w:val="000E35BB"/>
    <w:rsid w:val="000E3A6C"/>
    <w:rsid w:val="000E3F75"/>
    <w:rsid w:val="000E44C8"/>
    <w:rsid w:val="000E4693"/>
    <w:rsid w:val="000E4F08"/>
    <w:rsid w:val="000E5F5A"/>
    <w:rsid w:val="000E5FBD"/>
    <w:rsid w:val="000E60A2"/>
    <w:rsid w:val="000E697A"/>
    <w:rsid w:val="000E72DB"/>
    <w:rsid w:val="000E74AB"/>
    <w:rsid w:val="000E7517"/>
    <w:rsid w:val="000E7D5E"/>
    <w:rsid w:val="000F0099"/>
    <w:rsid w:val="000F0123"/>
    <w:rsid w:val="000F060C"/>
    <w:rsid w:val="000F076E"/>
    <w:rsid w:val="000F0775"/>
    <w:rsid w:val="000F07B0"/>
    <w:rsid w:val="000F0D72"/>
    <w:rsid w:val="000F129B"/>
    <w:rsid w:val="000F132E"/>
    <w:rsid w:val="000F199B"/>
    <w:rsid w:val="000F1F9B"/>
    <w:rsid w:val="000F21A8"/>
    <w:rsid w:val="000F22F6"/>
    <w:rsid w:val="000F2370"/>
    <w:rsid w:val="000F2435"/>
    <w:rsid w:val="000F2481"/>
    <w:rsid w:val="000F28E1"/>
    <w:rsid w:val="000F2A3D"/>
    <w:rsid w:val="000F2E6E"/>
    <w:rsid w:val="000F3B5B"/>
    <w:rsid w:val="000F3C28"/>
    <w:rsid w:val="000F4098"/>
    <w:rsid w:val="000F42CD"/>
    <w:rsid w:val="000F4DFD"/>
    <w:rsid w:val="000F4F61"/>
    <w:rsid w:val="000F501A"/>
    <w:rsid w:val="000F5119"/>
    <w:rsid w:val="000F51B8"/>
    <w:rsid w:val="000F52DF"/>
    <w:rsid w:val="000F5606"/>
    <w:rsid w:val="000F5620"/>
    <w:rsid w:val="000F632C"/>
    <w:rsid w:val="000F6339"/>
    <w:rsid w:val="000F63EF"/>
    <w:rsid w:val="000F65B2"/>
    <w:rsid w:val="000F6B03"/>
    <w:rsid w:val="000F6F73"/>
    <w:rsid w:val="000F7171"/>
    <w:rsid w:val="000F72F4"/>
    <w:rsid w:val="000F7713"/>
    <w:rsid w:val="000F7BA9"/>
    <w:rsid w:val="001001AB"/>
    <w:rsid w:val="00100207"/>
    <w:rsid w:val="001004BB"/>
    <w:rsid w:val="00100651"/>
    <w:rsid w:val="00100784"/>
    <w:rsid w:val="001007FC"/>
    <w:rsid w:val="00100BEC"/>
    <w:rsid w:val="001012D5"/>
    <w:rsid w:val="00101C5C"/>
    <w:rsid w:val="00101ECF"/>
    <w:rsid w:val="00101F9D"/>
    <w:rsid w:val="001023F0"/>
    <w:rsid w:val="00102D46"/>
    <w:rsid w:val="001034EC"/>
    <w:rsid w:val="0010478B"/>
    <w:rsid w:val="00104869"/>
    <w:rsid w:val="001049AE"/>
    <w:rsid w:val="00104D96"/>
    <w:rsid w:val="00104F49"/>
    <w:rsid w:val="00105210"/>
    <w:rsid w:val="0010550F"/>
    <w:rsid w:val="00105922"/>
    <w:rsid w:val="00105D53"/>
    <w:rsid w:val="001060D7"/>
    <w:rsid w:val="001063CE"/>
    <w:rsid w:val="00106842"/>
    <w:rsid w:val="00106C18"/>
    <w:rsid w:val="001075F7"/>
    <w:rsid w:val="001077BC"/>
    <w:rsid w:val="00107CE9"/>
    <w:rsid w:val="00110B46"/>
    <w:rsid w:val="00110ECE"/>
    <w:rsid w:val="00111600"/>
    <w:rsid w:val="00111787"/>
    <w:rsid w:val="001128C2"/>
    <w:rsid w:val="00112965"/>
    <w:rsid w:val="00112DFE"/>
    <w:rsid w:val="001131D7"/>
    <w:rsid w:val="001132F7"/>
    <w:rsid w:val="0011340B"/>
    <w:rsid w:val="0011374B"/>
    <w:rsid w:val="00113788"/>
    <w:rsid w:val="001138B1"/>
    <w:rsid w:val="00113C06"/>
    <w:rsid w:val="00113E1B"/>
    <w:rsid w:val="001141C8"/>
    <w:rsid w:val="001148AF"/>
    <w:rsid w:val="00114ED3"/>
    <w:rsid w:val="00114FF0"/>
    <w:rsid w:val="00115D27"/>
    <w:rsid w:val="00115D6F"/>
    <w:rsid w:val="001161CA"/>
    <w:rsid w:val="001162DE"/>
    <w:rsid w:val="00116322"/>
    <w:rsid w:val="00116C6B"/>
    <w:rsid w:val="00117CD0"/>
    <w:rsid w:val="001205B7"/>
    <w:rsid w:val="0012109A"/>
    <w:rsid w:val="00121761"/>
    <w:rsid w:val="00121969"/>
    <w:rsid w:val="00121B57"/>
    <w:rsid w:val="00122793"/>
    <w:rsid w:val="001228A4"/>
    <w:rsid w:val="00122986"/>
    <w:rsid w:val="0012340B"/>
    <w:rsid w:val="00123528"/>
    <w:rsid w:val="001239E3"/>
    <w:rsid w:val="00123B24"/>
    <w:rsid w:val="00123B52"/>
    <w:rsid w:val="00123C44"/>
    <w:rsid w:val="00123F4D"/>
    <w:rsid w:val="001240E8"/>
    <w:rsid w:val="001245C2"/>
    <w:rsid w:val="00124F05"/>
    <w:rsid w:val="0012524B"/>
    <w:rsid w:val="00126183"/>
    <w:rsid w:val="00126C2F"/>
    <w:rsid w:val="00127098"/>
    <w:rsid w:val="00127703"/>
    <w:rsid w:val="00127A5E"/>
    <w:rsid w:val="00127B8C"/>
    <w:rsid w:val="00127C89"/>
    <w:rsid w:val="0013024B"/>
    <w:rsid w:val="00130312"/>
    <w:rsid w:val="00130F3D"/>
    <w:rsid w:val="001312DE"/>
    <w:rsid w:val="00131591"/>
    <w:rsid w:val="00131B8E"/>
    <w:rsid w:val="00132AEF"/>
    <w:rsid w:val="00132BE5"/>
    <w:rsid w:val="00133061"/>
    <w:rsid w:val="00133216"/>
    <w:rsid w:val="0013355C"/>
    <w:rsid w:val="00133745"/>
    <w:rsid w:val="00133DCB"/>
    <w:rsid w:val="00133EDC"/>
    <w:rsid w:val="001341D2"/>
    <w:rsid w:val="0013467C"/>
    <w:rsid w:val="0013605B"/>
    <w:rsid w:val="00136182"/>
    <w:rsid w:val="00136282"/>
    <w:rsid w:val="00136B09"/>
    <w:rsid w:val="00136C49"/>
    <w:rsid w:val="00140718"/>
    <w:rsid w:val="001413F1"/>
    <w:rsid w:val="001413FF"/>
    <w:rsid w:val="0014196E"/>
    <w:rsid w:val="00142B46"/>
    <w:rsid w:val="00142DBC"/>
    <w:rsid w:val="00143098"/>
    <w:rsid w:val="001431F7"/>
    <w:rsid w:val="00143545"/>
    <w:rsid w:val="00143B4D"/>
    <w:rsid w:val="00143FB1"/>
    <w:rsid w:val="00144697"/>
    <w:rsid w:val="00144D15"/>
    <w:rsid w:val="001454AB"/>
    <w:rsid w:val="0014567C"/>
    <w:rsid w:val="0014583F"/>
    <w:rsid w:val="001458BC"/>
    <w:rsid w:val="00146D4F"/>
    <w:rsid w:val="00146E64"/>
    <w:rsid w:val="00147284"/>
    <w:rsid w:val="00147508"/>
    <w:rsid w:val="001502D8"/>
    <w:rsid w:val="001505E3"/>
    <w:rsid w:val="001508AE"/>
    <w:rsid w:val="00150E8E"/>
    <w:rsid w:val="00151536"/>
    <w:rsid w:val="0015196A"/>
    <w:rsid w:val="00151F94"/>
    <w:rsid w:val="00152171"/>
    <w:rsid w:val="001529B5"/>
    <w:rsid w:val="00152EEE"/>
    <w:rsid w:val="00152F01"/>
    <w:rsid w:val="00153061"/>
    <w:rsid w:val="001530BF"/>
    <w:rsid w:val="00153605"/>
    <w:rsid w:val="00153AB8"/>
    <w:rsid w:val="00153F42"/>
    <w:rsid w:val="00154063"/>
    <w:rsid w:val="00154DF2"/>
    <w:rsid w:val="00155051"/>
    <w:rsid w:val="001550F5"/>
    <w:rsid w:val="00155298"/>
    <w:rsid w:val="00155376"/>
    <w:rsid w:val="00156233"/>
    <w:rsid w:val="0015658B"/>
    <w:rsid w:val="001565DE"/>
    <w:rsid w:val="0015668F"/>
    <w:rsid w:val="00156ED5"/>
    <w:rsid w:val="00157078"/>
    <w:rsid w:val="00157136"/>
    <w:rsid w:val="00157946"/>
    <w:rsid w:val="00157DA9"/>
    <w:rsid w:val="0016020A"/>
    <w:rsid w:val="001606AA"/>
    <w:rsid w:val="00160A36"/>
    <w:rsid w:val="00161678"/>
    <w:rsid w:val="0016291E"/>
    <w:rsid w:val="00162BCD"/>
    <w:rsid w:val="00162F8F"/>
    <w:rsid w:val="001630A7"/>
    <w:rsid w:val="00163117"/>
    <w:rsid w:val="00163EE3"/>
    <w:rsid w:val="0016418C"/>
    <w:rsid w:val="00164221"/>
    <w:rsid w:val="001643F0"/>
    <w:rsid w:val="0016494B"/>
    <w:rsid w:val="00164FD9"/>
    <w:rsid w:val="00165192"/>
    <w:rsid w:val="00165BBF"/>
    <w:rsid w:val="00165CF8"/>
    <w:rsid w:val="00166CE2"/>
    <w:rsid w:val="0016737B"/>
    <w:rsid w:val="00167979"/>
    <w:rsid w:val="0017031C"/>
    <w:rsid w:val="001704AA"/>
    <w:rsid w:val="00170606"/>
    <w:rsid w:val="0017082C"/>
    <w:rsid w:val="0017103F"/>
    <w:rsid w:val="001712A3"/>
    <w:rsid w:val="00172AC5"/>
    <w:rsid w:val="00173D7D"/>
    <w:rsid w:val="001745EE"/>
    <w:rsid w:val="001745FA"/>
    <w:rsid w:val="00174E90"/>
    <w:rsid w:val="001751DA"/>
    <w:rsid w:val="00175AFA"/>
    <w:rsid w:val="00176599"/>
    <w:rsid w:val="0017672C"/>
    <w:rsid w:val="001773B0"/>
    <w:rsid w:val="00180167"/>
    <w:rsid w:val="00180AFE"/>
    <w:rsid w:val="00180D97"/>
    <w:rsid w:val="00180EF0"/>
    <w:rsid w:val="001815A2"/>
    <w:rsid w:val="00181674"/>
    <w:rsid w:val="001818E7"/>
    <w:rsid w:val="00181D3E"/>
    <w:rsid w:val="00182127"/>
    <w:rsid w:val="00182442"/>
    <w:rsid w:val="00182645"/>
    <w:rsid w:val="00182A64"/>
    <w:rsid w:val="001830A8"/>
    <w:rsid w:val="001833C2"/>
    <w:rsid w:val="0018414E"/>
    <w:rsid w:val="00184C70"/>
    <w:rsid w:val="00184DBF"/>
    <w:rsid w:val="00184E96"/>
    <w:rsid w:val="00184F3A"/>
    <w:rsid w:val="00185161"/>
    <w:rsid w:val="001856FB"/>
    <w:rsid w:val="0018603F"/>
    <w:rsid w:val="00186B2D"/>
    <w:rsid w:val="00186D5A"/>
    <w:rsid w:val="00186ECE"/>
    <w:rsid w:val="001870E9"/>
    <w:rsid w:val="001877FC"/>
    <w:rsid w:val="00187AC2"/>
    <w:rsid w:val="00187AD3"/>
    <w:rsid w:val="00187FA1"/>
    <w:rsid w:val="00190880"/>
    <w:rsid w:val="00190986"/>
    <w:rsid w:val="00190E24"/>
    <w:rsid w:val="001911D4"/>
    <w:rsid w:val="0019126B"/>
    <w:rsid w:val="00191290"/>
    <w:rsid w:val="001918A0"/>
    <w:rsid w:val="0019240D"/>
    <w:rsid w:val="0019245A"/>
    <w:rsid w:val="00192897"/>
    <w:rsid w:val="00192DC2"/>
    <w:rsid w:val="00193207"/>
    <w:rsid w:val="00193CA2"/>
    <w:rsid w:val="00193D6A"/>
    <w:rsid w:val="00193E5C"/>
    <w:rsid w:val="001944DB"/>
    <w:rsid w:val="00194735"/>
    <w:rsid w:val="001948B4"/>
    <w:rsid w:val="00194F78"/>
    <w:rsid w:val="00194F9F"/>
    <w:rsid w:val="00194FCB"/>
    <w:rsid w:val="00196071"/>
    <w:rsid w:val="001960A9"/>
    <w:rsid w:val="001961CC"/>
    <w:rsid w:val="00196512"/>
    <w:rsid w:val="001965AC"/>
    <w:rsid w:val="0019661E"/>
    <w:rsid w:val="00197369"/>
    <w:rsid w:val="00197742"/>
    <w:rsid w:val="00197C19"/>
    <w:rsid w:val="001A0288"/>
    <w:rsid w:val="001A09FA"/>
    <w:rsid w:val="001A0FD1"/>
    <w:rsid w:val="001A12C5"/>
    <w:rsid w:val="001A140E"/>
    <w:rsid w:val="001A1A65"/>
    <w:rsid w:val="001A2B92"/>
    <w:rsid w:val="001A33CF"/>
    <w:rsid w:val="001A3D17"/>
    <w:rsid w:val="001A3FFD"/>
    <w:rsid w:val="001A41BA"/>
    <w:rsid w:val="001A433F"/>
    <w:rsid w:val="001A4B7B"/>
    <w:rsid w:val="001A4BA6"/>
    <w:rsid w:val="001A512B"/>
    <w:rsid w:val="001A55D5"/>
    <w:rsid w:val="001A5AF9"/>
    <w:rsid w:val="001A62A6"/>
    <w:rsid w:val="001A632B"/>
    <w:rsid w:val="001A6C9E"/>
    <w:rsid w:val="001A6E18"/>
    <w:rsid w:val="001A7C64"/>
    <w:rsid w:val="001A7F85"/>
    <w:rsid w:val="001B0158"/>
    <w:rsid w:val="001B01AA"/>
    <w:rsid w:val="001B06A1"/>
    <w:rsid w:val="001B071F"/>
    <w:rsid w:val="001B07BD"/>
    <w:rsid w:val="001B0A51"/>
    <w:rsid w:val="001B0F08"/>
    <w:rsid w:val="001B1152"/>
    <w:rsid w:val="001B135C"/>
    <w:rsid w:val="001B1469"/>
    <w:rsid w:val="001B1555"/>
    <w:rsid w:val="001B158B"/>
    <w:rsid w:val="001B1E4B"/>
    <w:rsid w:val="001B2109"/>
    <w:rsid w:val="001B29CD"/>
    <w:rsid w:val="001B2E98"/>
    <w:rsid w:val="001B311C"/>
    <w:rsid w:val="001B3946"/>
    <w:rsid w:val="001B403D"/>
    <w:rsid w:val="001B46CD"/>
    <w:rsid w:val="001B48A5"/>
    <w:rsid w:val="001B4AA1"/>
    <w:rsid w:val="001B585E"/>
    <w:rsid w:val="001B5C83"/>
    <w:rsid w:val="001B5FAB"/>
    <w:rsid w:val="001B6663"/>
    <w:rsid w:val="001B6C55"/>
    <w:rsid w:val="001B6C60"/>
    <w:rsid w:val="001B6E74"/>
    <w:rsid w:val="001B70A8"/>
    <w:rsid w:val="001B74BE"/>
    <w:rsid w:val="001B7BD4"/>
    <w:rsid w:val="001C056E"/>
    <w:rsid w:val="001C05E9"/>
    <w:rsid w:val="001C0D56"/>
    <w:rsid w:val="001C0FD5"/>
    <w:rsid w:val="001C132E"/>
    <w:rsid w:val="001C14CB"/>
    <w:rsid w:val="001C1CAA"/>
    <w:rsid w:val="001C20B1"/>
    <w:rsid w:val="001C2E59"/>
    <w:rsid w:val="001C2FAB"/>
    <w:rsid w:val="001C32D7"/>
    <w:rsid w:val="001C338F"/>
    <w:rsid w:val="001C3EE0"/>
    <w:rsid w:val="001C46FD"/>
    <w:rsid w:val="001C4F0F"/>
    <w:rsid w:val="001C5424"/>
    <w:rsid w:val="001C59C3"/>
    <w:rsid w:val="001C68A6"/>
    <w:rsid w:val="001C6ADB"/>
    <w:rsid w:val="001C6C46"/>
    <w:rsid w:val="001C6DD0"/>
    <w:rsid w:val="001C6E0A"/>
    <w:rsid w:val="001C7035"/>
    <w:rsid w:val="001C7834"/>
    <w:rsid w:val="001C7A3C"/>
    <w:rsid w:val="001D0489"/>
    <w:rsid w:val="001D0720"/>
    <w:rsid w:val="001D0A29"/>
    <w:rsid w:val="001D0F0C"/>
    <w:rsid w:val="001D108E"/>
    <w:rsid w:val="001D1277"/>
    <w:rsid w:val="001D13DE"/>
    <w:rsid w:val="001D15EE"/>
    <w:rsid w:val="001D16EF"/>
    <w:rsid w:val="001D171B"/>
    <w:rsid w:val="001D17A9"/>
    <w:rsid w:val="001D18BD"/>
    <w:rsid w:val="001D1E80"/>
    <w:rsid w:val="001D233F"/>
    <w:rsid w:val="001D24D5"/>
    <w:rsid w:val="001D2592"/>
    <w:rsid w:val="001D2720"/>
    <w:rsid w:val="001D2C86"/>
    <w:rsid w:val="001D325D"/>
    <w:rsid w:val="001D4D0B"/>
    <w:rsid w:val="001D5CDF"/>
    <w:rsid w:val="001D6169"/>
    <w:rsid w:val="001D619A"/>
    <w:rsid w:val="001D66E4"/>
    <w:rsid w:val="001D6713"/>
    <w:rsid w:val="001D693E"/>
    <w:rsid w:val="001D69D4"/>
    <w:rsid w:val="001D6B5F"/>
    <w:rsid w:val="001D6BE7"/>
    <w:rsid w:val="001D7074"/>
    <w:rsid w:val="001D7225"/>
    <w:rsid w:val="001D7295"/>
    <w:rsid w:val="001D78A4"/>
    <w:rsid w:val="001E0007"/>
    <w:rsid w:val="001E068A"/>
    <w:rsid w:val="001E06A2"/>
    <w:rsid w:val="001E072B"/>
    <w:rsid w:val="001E10AD"/>
    <w:rsid w:val="001E21A5"/>
    <w:rsid w:val="001E23C9"/>
    <w:rsid w:val="001E300D"/>
    <w:rsid w:val="001E40BB"/>
    <w:rsid w:val="001E420C"/>
    <w:rsid w:val="001E4B8D"/>
    <w:rsid w:val="001E53F0"/>
    <w:rsid w:val="001E57AA"/>
    <w:rsid w:val="001E5BE2"/>
    <w:rsid w:val="001E5CE9"/>
    <w:rsid w:val="001E60A3"/>
    <w:rsid w:val="001E66BC"/>
    <w:rsid w:val="001E6B9C"/>
    <w:rsid w:val="001E6BC3"/>
    <w:rsid w:val="001E74C9"/>
    <w:rsid w:val="001F010A"/>
    <w:rsid w:val="001F03D4"/>
    <w:rsid w:val="001F08DA"/>
    <w:rsid w:val="001F178F"/>
    <w:rsid w:val="001F2513"/>
    <w:rsid w:val="001F2651"/>
    <w:rsid w:val="001F3723"/>
    <w:rsid w:val="001F3877"/>
    <w:rsid w:val="001F38F2"/>
    <w:rsid w:val="001F3B35"/>
    <w:rsid w:val="001F3C7F"/>
    <w:rsid w:val="001F4379"/>
    <w:rsid w:val="001F43C5"/>
    <w:rsid w:val="001F46B9"/>
    <w:rsid w:val="001F487B"/>
    <w:rsid w:val="001F495A"/>
    <w:rsid w:val="001F4E24"/>
    <w:rsid w:val="001F4F22"/>
    <w:rsid w:val="001F5D42"/>
    <w:rsid w:val="001F5F78"/>
    <w:rsid w:val="001F697E"/>
    <w:rsid w:val="001F7098"/>
    <w:rsid w:val="001F7163"/>
    <w:rsid w:val="001F750F"/>
    <w:rsid w:val="001F7C21"/>
    <w:rsid w:val="00200B7E"/>
    <w:rsid w:val="002017B2"/>
    <w:rsid w:val="002018F1"/>
    <w:rsid w:val="00201DAF"/>
    <w:rsid w:val="00202344"/>
    <w:rsid w:val="00202352"/>
    <w:rsid w:val="00202512"/>
    <w:rsid w:val="00202EBC"/>
    <w:rsid w:val="002033C7"/>
    <w:rsid w:val="00203E6C"/>
    <w:rsid w:val="00203EC4"/>
    <w:rsid w:val="00203FBE"/>
    <w:rsid w:val="0020420C"/>
    <w:rsid w:val="00204C72"/>
    <w:rsid w:val="002053BA"/>
    <w:rsid w:val="002054B0"/>
    <w:rsid w:val="002065B5"/>
    <w:rsid w:val="002066B7"/>
    <w:rsid w:val="00206B20"/>
    <w:rsid w:val="00206E46"/>
    <w:rsid w:val="00207077"/>
    <w:rsid w:val="0020757F"/>
    <w:rsid w:val="002075D9"/>
    <w:rsid w:val="00207A8D"/>
    <w:rsid w:val="00207BED"/>
    <w:rsid w:val="002102A8"/>
    <w:rsid w:val="002104BE"/>
    <w:rsid w:val="0021164A"/>
    <w:rsid w:val="0021189D"/>
    <w:rsid w:val="00211CBF"/>
    <w:rsid w:val="00211E69"/>
    <w:rsid w:val="002121E1"/>
    <w:rsid w:val="00212B3D"/>
    <w:rsid w:val="00213072"/>
    <w:rsid w:val="00213570"/>
    <w:rsid w:val="002136A7"/>
    <w:rsid w:val="00213F5C"/>
    <w:rsid w:val="00214641"/>
    <w:rsid w:val="00215125"/>
    <w:rsid w:val="00215F61"/>
    <w:rsid w:val="00216384"/>
    <w:rsid w:val="00216798"/>
    <w:rsid w:val="002168D3"/>
    <w:rsid w:val="00216C1D"/>
    <w:rsid w:val="00216FC8"/>
    <w:rsid w:val="00217032"/>
    <w:rsid w:val="002174D4"/>
    <w:rsid w:val="00217741"/>
    <w:rsid w:val="00217EF7"/>
    <w:rsid w:val="0022016B"/>
    <w:rsid w:val="002206DF"/>
    <w:rsid w:val="00220A5B"/>
    <w:rsid w:val="00222538"/>
    <w:rsid w:val="00222645"/>
    <w:rsid w:val="002228F6"/>
    <w:rsid w:val="00222A11"/>
    <w:rsid w:val="0022314A"/>
    <w:rsid w:val="0022356C"/>
    <w:rsid w:val="002236F3"/>
    <w:rsid w:val="00223BD2"/>
    <w:rsid w:val="00223E48"/>
    <w:rsid w:val="00223F1F"/>
    <w:rsid w:val="00224EB3"/>
    <w:rsid w:val="00224F75"/>
    <w:rsid w:val="002251D7"/>
    <w:rsid w:val="00225241"/>
    <w:rsid w:val="00225599"/>
    <w:rsid w:val="002257A5"/>
    <w:rsid w:val="00225975"/>
    <w:rsid w:val="0022599A"/>
    <w:rsid w:val="00226098"/>
    <w:rsid w:val="002262B7"/>
    <w:rsid w:val="00226FAE"/>
    <w:rsid w:val="00227577"/>
    <w:rsid w:val="0022775F"/>
    <w:rsid w:val="00227E3E"/>
    <w:rsid w:val="00227F28"/>
    <w:rsid w:val="00227FB0"/>
    <w:rsid w:val="00230A6D"/>
    <w:rsid w:val="00231B73"/>
    <w:rsid w:val="00231C62"/>
    <w:rsid w:val="002329C7"/>
    <w:rsid w:val="00232CE5"/>
    <w:rsid w:val="002331B8"/>
    <w:rsid w:val="00233A27"/>
    <w:rsid w:val="00233AAB"/>
    <w:rsid w:val="00233AD6"/>
    <w:rsid w:val="0023418F"/>
    <w:rsid w:val="002341E1"/>
    <w:rsid w:val="00234299"/>
    <w:rsid w:val="002348D9"/>
    <w:rsid w:val="00234C6E"/>
    <w:rsid w:val="002358B4"/>
    <w:rsid w:val="00235F71"/>
    <w:rsid w:val="00236390"/>
    <w:rsid w:val="002363B6"/>
    <w:rsid w:val="002373BD"/>
    <w:rsid w:val="002377EA"/>
    <w:rsid w:val="00237A92"/>
    <w:rsid w:val="00237D52"/>
    <w:rsid w:val="00240AED"/>
    <w:rsid w:val="00241005"/>
    <w:rsid w:val="00241018"/>
    <w:rsid w:val="00241607"/>
    <w:rsid w:val="002416FA"/>
    <w:rsid w:val="00241966"/>
    <w:rsid w:val="0024239C"/>
    <w:rsid w:val="002436D8"/>
    <w:rsid w:val="00243BEB"/>
    <w:rsid w:val="00244AAA"/>
    <w:rsid w:val="00244AD9"/>
    <w:rsid w:val="00244F19"/>
    <w:rsid w:val="00244F7F"/>
    <w:rsid w:val="00245282"/>
    <w:rsid w:val="00245D38"/>
    <w:rsid w:val="00245D8E"/>
    <w:rsid w:val="00245DD5"/>
    <w:rsid w:val="0024648A"/>
    <w:rsid w:val="002478D0"/>
    <w:rsid w:val="00247F66"/>
    <w:rsid w:val="00247F8A"/>
    <w:rsid w:val="00250878"/>
    <w:rsid w:val="002509B7"/>
    <w:rsid w:val="00251205"/>
    <w:rsid w:val="00251528"/>
    <w:rsid w:val="00251809"/>
    <w:rsid w:val="00251835"/>
    <w:rsid w:val="002523F0"/>
    <w:rsid w:val="002533B8"/>
    <w:rsid w:val="002539DC"/>
    <w:rsid w:val="00253B77"/>
    <w:rsid w:val="00253F96"/>
    <w:rsid w:val="00254065"/>
    <w:rsid w:val="00254183"/>
    <w:rsid w:val="00254A4D"/>
    <w:rsid w:val="00254CDF"/>
    <w:rsid w:val="00254D1A"/>
    <w:rsid w:val="00254DED"/>
    <w:rsid w:val="00254E89"/>
    <w:rsid w:val="0025505D"/>
    <w:rsid w:val="002552FC"/>
    <w:rsid w:val="00255812"/>
    <w:rsid w:val="00255E57"/>
    <w:rsid w:val="0025657C"/>
    <w:rsid w:val="00256951"/>
    <w:rsid w:val="00256FA0"/>
    <w:rsid w:val="0025710A"/>
    <w:rsid w:val="00257585"/>
    <w:rsid w:val="00257FD2"/>
    <w:rsid w:val="00261309"/>
    <w:rsid w:val="00261424"/>
    <w:rsid w:val="00262C67"/>
    <w:rsid w:val="00262E3D"/>
    <w:rsid w:val="0026388E"/>
    <w:rsid w:val="0026390C"/>
    <w:rsid w:val="00263DED"/>
    <w:rsid w:val="00263E27"/>
    <w:rsid w:val="00263E33"/>
    <w:rsid w:val="00263FC8"/>
    <w:rsid w:val="002643C0"/>
    <w:rsid w:val="0026467F"/>
    <w:rsid w:val="002646CA"/>
    <w:rsid w:val="002648DD"/>
    <w:rsid w:val="00264B63"/>
    <w:rsid w:val="00265437"/>
    <w:rsid w:val="002655F9"/>
    <w:rsid w:val="002667DF"/>
    <w:rsid w:val="00266F29"/>
    <w:rsid w:val="002673A2"/>
    <w:rsid w:val="00267FB4"/>
    <w:rsid w:val="00270000"/>
    <w:rsid w:val="0027005A"/>
    <w:rsid w:val="00270530"/>
    <w:rsid w:val="00270B01"/>
    <w:rsid w:val="00270D8D"/>
    <w:rsid w:val="00271054"/>
    <w:rsid w:val="00271166"/>
    <w:rsid w:val="00271E88"/>
    <w:rsid w:val="00272047"/>
    <w:rsid w:val="00272241"/>
    <w:rsid w:val="00272D53"/>
    <w:rsid w:val="00273291"/>
    <w:rsid w:val="0027356C"/>
    <w:rsid w:val="0027365B"/>
    <w:rsid w:val="002738A5"/>
    <w:rsid w:val="00274BB2"/>
    <w:rsid w:val="00274E77"/>
    <w:rsid w:val="0027549F"/>
    <w:rsid w:val="00275604"/>
    <w:rsid w:val="002764C1"/>
    <w:rsid w:val="0027675B"/>
    <w:rsid w:val="00276A1B"/>
    <w:rsid w:val="00276CC0"/>
    <w:rsid w:val="00276ECF"/>
    <w:rsid w:val="002770A7"/>
    <w:rsid w:val="0027776B"/>
    <w:rsid w:val="002777E3"/>
    <w:rsid w:val="002778BA"/>
    <w:rsid w:val="00277E5E"/>
    <w:rsid w:val="00277FFA"/>
    <w:rsid w:val="00280087"/>
    <w:rsid w:val="00280336"/>
    <w:rsid w:val="00280EDD"/>
    <w:rsid w:val="0028172B"/>
    <w:rsid w:val="002819EF"/>
    <w:rsid w:val="00281A7A"/>
    <w:rsid w:val="00281DA1"/>
    <w:rsid w:val="00281E04"/>
    <w:rsid w:val="002822DE"/>
    <w:rsid w:val="00282441"/>
    <w:rsid w:val="00282745"/>
    <w:rsid w:val="00282AEC"/>
    <w:rsid w:val="0028306F"/>
    <w:rsid w:val="002833E9"/>
    <w:rsid w:val="002835DB"/>
    <w:rsid w:val="002843AD"/>
    <w:rsid w:val="0028442B"/>
    <w:rsid w:val="00284D9D"/>
    <w:rsid w:val="00284EFC"/>
    <w:rsid w:val="002851E6"/>
    <w:rsid w:val="002860A4"/>
    <w:rsid w:val="00286452"/>
    <w:rsid w:val="0028692E"/>
    <w:rsid w:val="00286E58"/>
    <w:rsid w:val="002873E9"/>
    <w:rsid w:val="002876E8"/>
    <w:rsid w:val="002877C1"/>
    <w:rsid w:val="00287AF4"/>
    <w:rsid w:val="00287B1A"/>
    <w:rsid w:val="00287FDA"/>
    <w:rsid w:val="0029023D"/>
    <w:rsid w:val="00290747"/>
    <w:rsid w:val="00290831"/>
    <w:rsid w:val="00290B06"/>
    <w:rsid w:val="0029109F"/>
    <w:rsid w:val="00291899"/>
    <w:rsid w:val="00291992"/>
    <w:rsid w:val="00291BE4"/>
    <w:rsid w:val="00291EB0"/>
    <w:rsid w:val="00291F37"/>
    <w:rsid w:val="00292611"/>
    <w:rsid w:val="002929D7"/>
    <w:rsid w:val="00292A82"/>
    <w:rsid w:val="00292B0B"/>
    <w:rsid w:val="002930E9"/>
    <w:rsid w:val="0029357D"/>
    <w:rsid w:val="00293761"/>
    <w:rsid w:val="0029392F"/>
    <w:rsid w:val="00294098"/>
    <w:rsid w:val="0029424F"/>
    <w:rsid w:val="002958C1"/>
    <w:rsid w:val="0029591D"/>
    <w:rsid w:val="00295A1A"/>
    <w:rsid w:val="00297429"/>
    <w:rsid w:val="002976ED"/>
    <w:rsid w:val="002A05C1"/>
    <w:rsid w:val="002A1AA4"/>
    <w:rsid w:val="002A1E25"/>
    <w:rsid w:val="002A1ECE"/>
    <w:rsid w:val="002A25DD"/>
    <w:rsid w:val="002A30B5"/>
    <w:rsid w:val="002A377C"/>
    <w:rsid w:val="002A42BE"/>
    <w:rsid w:val="002A468C"/>
    <w:rsid w:val="002A4C84"/>
    <w:rsid w:val="002A4D70"/>
    <w:rsid w:val="002A5AE1"/>
    <w:rsid w:val="002A6CE2"/>
    <w:rsid w:val="002A6D96"/>
    <w:rsid w:val="002A6E38"/>
    <w:rsid w:val="002A6E4C"/>
    <w:rsid w:val="002A7035"/>
    <w:rsid w:val="002A79F4"/>
    <w:rsid w:val="002A7E12"/>
    <w:rsid w:val="002B02A8"/>
    <w:rsid w:val="002B0A0E"/>
    <w:rsid w:val="002B0DD1"/>
    <w:rsid w:val="002B1221"/>
    <w:rsid w:val="002B15BD"/>
    <w:rsid w:val="002B21A3"/>
    <w:rsid w:val="002B21BB"/>
    <w:rsid w:val="002B2697"/>
    <w:rsid w:val="002B2839"/>
    <w:rsid w:val="002B2F5E"/>
    <w:rsid w:val="002B3404"/>
    <w:rsid w:val="002B38A6"/>
    <w:rsid w:val="002B3AE7"/>
    <w:rsid w:val="002B3DFC"/>
    <w:rsid w:val="002B44A4"/>
    <w:rsid w:val="002B4657"/>
    <w:rsid w:val="002B4D27"/>
    <w:rsid w:val="002B4FE2"/>
    <w:rsid w:val="002B56A3"/>
    <w:rsid w:val="002B5D5D"/>
    <w:rsid w:val="002B5FF0"/>
    <w:rsid w:val="002B6724"/>
    <w:rsid w:val="002B6D4A"/>
    <w:rsid w:val="002B72B3"/>
    <w:rsid w:val="002B7432"/>
    <w:rsid w:val="002B755F"/>
    <w:rsid w:val="002B7877"/>
    <w:rsid w:val="002B7AA0"/>
    <w:rsid w:val="002B7CD7"/>
    <w:rsid w:val="002B7E57"/>
    <w:rsid w:val="002C006A"/>
    <w:rsid w:val="002C0390"/>
    <w:rsid w:val="002C05E6"/>
    <w:rsid w:val="002C06C5"/>
    <w:rsid w:val="002C0B93"/>
    <w:rsid w:val="002C0D8A"/>
    <w:rsid w:val="002C123F"/>
    <w:rsid w:val="002C141B"/>
    <w:rsid w:val="002C1CF2"/>
    <w:rsid w:val="002C1D8C"/>
    <w:rsid w:val="002C1EEF"/>
    <w:rsid w:val="002C24ED"/>
    <w:rsid w:val="002C2703"/>
    <w:rsid w:val="002C2EAF"/>
    <w:rsid w:val="002C326A"/>
    <w:rsid w:val="002C33A1"/>
    <w:rsid w:val="002C33C9"/>
    <w:rsid w:val="002C36CC"/>
    <w:rsid w:val="002C3D7B"/>
    <w:rsid w:val="002C47CE"/>
    <w:rsid w:val="002C4DD9"/>
    <w:rsid w:val="002C4F56"/>
    <w:rsid w:val="002C4FFB"/>
    <w:rsid w:val="002C50AF"/>
    <w:rsid w:val="002C5725"/>
    <w:rsid w:val="002C5E9A"/>
    <w:rsid w:val="002C6428"/>
    <w:rsid w:val="002C6CE6"/>
    <w:rsid w:val="002C77A6"/>
    <w:rsid w:val="002C780F"/>
    <w:rsid w:val="002C799B"/>
    <w:rsid w:val="002C7C4D"/>
    <w:rsid w:val="002C7C8D"/>
    <w:rsid w:val="002C7F82"/>
    <w:rsid w:val="002D0361"/>
    <w:rsid w:val="002D0482"/>
    <w:rsid w:val="002D06A9"/>
    <w:rsid w:val="002D09C3"/>
    <w:rsid w:val="002D0F71"/>
    <w:rsid w:val="002D108D"/>
    <w:rsid w:val="002D129C"/>
    <w:rsid w:val="002D196D"/>
    <w:rsid w:val="002D1A34"/>
    <w:rsid w:val="002D219A"/>
    <w:rsid w:val="002D23FC"/>
    <w:rsid w:val="002D24C1"/>
    <w:rsid w:val="002D263B"/>
    <w:rsid w:val="002D2A72"/>
    <w:rsid w:val="002D2D0B"/>
    <w:rsid w:val="002D399E"/>
    <w:rsid w:val="002D3A59"/>
    <w:rsid w:val="002D3AFF"/>
    <w:rsid w:val="002D3B48"/>
    <w:rsid w:val="002D3BF0"/>
    <w:rsid w:val="002D3EC9"/>
    <w:rsid w:val="002D4843"/>
    <w:rsid w:val="002D4966"/>
    <w:rsid w:val="002D558A"/>
    <w:rsid w:val="002D63DA"/>
    <w:rsid w:val="002D64D0"/>
    <w:rsid w:val="002D6953"/>
    <w:rsid w:val="002D6A47"/>
    <w:rsid w:val="002D6C1C"/>
    <w:rsid w:val="002D70A1"/>
    <w:rsid w:val="002D7153"/>
    <w:rsid w:val="002D7525"/>
    <w:rsid w:val="002D774B"/>
    <w:rsid w:val="002D78D6"/>
    <w:rsid w:val="002E010D"/>
    <w:rsid w:val="002E05E0"/>
    <w:rsid w:val="002E08F4"/>
    <w:rsid w:val="002E0907"/>
    <w:rsid w:val="002E119F"/>
    <w:rsid w:val="002E18AB"/>
    <w:rsid w:val="002E18EC"/>
    <w:rsid w:val="002E1EA8"/>
    <w:rsid w:val="002E2141"/>
    <w:rsid w:val="002E2BDF"/>
    <w:rsid w:val="002E312F"/>
    <w:rsid w:val="002E319B"/>
    <w:rsid w:val="002E3963"/>
    <w:rsid w:val="002E448E"/>
    <w:rsid w:val="002E4F5B"/>
    <w:rsid w:val="002E5313"/>
    <w:rsid w:val="002E5486"/>
    <w:rsid w:val="002E58CC"/>
    <w:rsid w:val="002E5DE7"/>
    <w:rsid w:val="002E66F8"/>
    <w:rsid w:val="002E6895"/>
    <w:rsid w:val="002E7629"/>
    <w:rsid w:val="002F04AB"/>
    <w:rsid w:val="002F0945"/>
    <w:rsid w:val="002F0995"/>
    <w:rsid w:val="002F0ACD"/>
    <w:rsid w:val="002F0BC3"/>
    <w:rsid w:val="002F0D3E"/>
    <w:rsid w:val="002F0DCC"/>
    <w:rsid w:val="002F1389"/>
    <w:rsid w:val="002F194F"/>
    <w:rsid w:val="002F1F6B"/>
    <w:rsid w:val="002F3E05"/>
    <w:rsid w:val="002F3EFB"/>
    <w:rsid w:val="002F4016"/>
    <w:rsid w:val="002F4103"/>
    <w:rsid w:val="002F4151"/>
    <w:rsid w:val="002F442C"/>
    <w:rsid w:val="002F4BB8"/>
    <w:rsid w:val="002F51C1"/>
    <w:rsid w:val="002F5447"/>
    <w:rsid w:val="002F604A"/>
    <w:rsid w:val="002F64FF"/>
    <w:rsid w:val="002F6532"/>
    <w:rsid w:val="002F6548"/>
    <w:rsid w:val="002F6683"/>
    <w:rsid w:val="002F6828"/>
    <w:rsid w:val="002F6DFA"/>
    <w:rsid w:val="002F7366"/>
    <w:rsid w:val="002F7ACB"/>
    <w:rsid w:val="002F7C2E"/>
    <w:rsid w:val="002F7E9B"/>
    <w:rsid w:val="003009E2"/>
    <w:rsid w:val="00300B2B"/>
    <w:rsid w:val="00300E17"/>
    <w:rsid w:val="00300F79"/>
    <w:rsid w:val="0030120F"/>
    <w:rsid w:val="0030124C"/>
    <w:rsid w:val="00301435"/>
    <w:rsid w:val="00301A11"/>
    <w:rsid w:val="00301A82"/>
    <w:rsid w:val="00301FC2"/>
    <w:rsid w:val="003020F1"/>
    <w:rsid w:val="00302D55"/>
    <w:rsid w:val="00303490"/>
    <w:rsid w:val="00303A4A"/>
    <w:rsid w:val="00304383"/>
    <w:rsid w:val="0030446C"/>
    <w:rsid w:val="003047E4"/>
    <w:rsid w:val="00304A79"/>
    <w:rsid w:val="00304D88"/>
    <w:rsid w:val="00305A3C"/>
    <w:rsid w:val="00305D5E"/>
    <w:rsid w:val="00306908"/>
    <w:rsid w:val="00306BE1"/>
    <w:rsid w:val="003072BA"/>
    <w:rsid w:val="00307BE5"/>
    <w:rsid w:val="0031013B"/>
    <w:rsid w:val="00310A31"/>
    <w:rsid w:val="00310A74"/>
    <w:rsid w:val="00310C34"/>
    <w:rsid w:val="00311165"/>
    <w:rsid w:val="003113F7"/>
    <w:rsid w:val="00311B9A"/>
    <w:rsid w:val="00311DE6"/>
    <w:rsid w:val="00311FDE"/>
    <w:rsid w:val="00312146"/>
    <w:rsid w:val="003121DD"/>
    <w:rsid w:val="003132AD"/>
    <w:rsid w:val="00313DC7"/>
    <w:rsid w:val="003148EE"/>
    <w:rsid w:val="00314A12"/>
    <w:rsid w:val="00314A41"/>
    <w:rsid w:val="00314A7D"/>
    <w:rsid w:val="00314AC5"/>
    <w:rsid w:val="00314F0E"/>
    <w:rsid w:val="00314F8B"/>
    <w:rsid w:val="003152E1"/>
    <w:rsid w:val="00315484"/>
    <w:rsid w:val="0031578B"/>
    <w:rsid w:val="00315AB3"/>
    <w:rsid w:val="00316107"/>
    <w:rsid w:val="00316223"/>
    <w:rsid w:val="00316378"/>
    <w:rsid w:val="00316BD8"/>
    <w:rsid w:val="003173B5"/>
    <w:rsid w:val="00317534"/>
    <w:rsid w:val="00317580"/>
    <w:rsid w:val="00317BDD"/>
    <w:rsid w:val="00317CFC"/>
    <w:rsid w:val="00317F26"/>
    <w:rsid w:val="00321170"/>
    <w:rsid w:val="0032155E"/>
    <w:rsid w:val="00321768"/>
    <w:rsid w:val="0032187F"/>
    <w:rsid w:val="0032262C"/>
    <w:rsid w:val="00322747"/>
    <w:rsid w:val="0032294B"/>
    <w:rsid w:val="00322DC8"/>
    <w:rsid w:val="0032308A"/>
    <w:rsid w:val="00323133"/>
    <w:rsid w:val="00323528"/>
    <w:rsid w:val="00323C19"/>
    <w:rsid w:val="00324170"/>
    <w:rsid w:val="00324E74"/>
    <w:rsid w:val="003253EE"/>
    <w:rsid w:val="00326185"/>
    <w:rsid w:val="00327217"/>
    <w:rsid w:val="003273D9"/>
    <w:rsid w:val="0032754C"/>
    <w:rsid w:val="00327B4E"/>
    <w:rsid w:val="00330D6F"/>
    <w:rsid w:val="00330F19"/>
    <w:rsid w:val="00331127"/>
    <w:rsid w:val="0033257E"/>
    <w:rsid w:val="00332639"/>
    <w:rsid w:val="0033269D"/>
    <w:rsid w:val="00332798"/>
    <w:rsid w:val="0033311C"/>
    <w:rsid w:val="00333374"/>
    <w:rsid w:val="0033380F"/>
    <w:rsid w:val="00333E2C"/>
    <w:rsid w:val="00333FD9"/>
    <w:rsid w:val="00334714"/>
    <w:rsid w:val="00334C14"/>
    <w:rsid w:val="0033523C"/>
    <w:rsid w:val="0033542F"/>
    <w:rsid w:val="00335454"/>
    <w:rsid w:val="003357D7"/>
    <w:rsid w:val="00335ABD"/>
    <w:rsid w:val="00336FE8"/>
    <w:rsid w:val="0033704A"/>
    <w:rsid w:val="0033730B"/>
    <w:rsid w:val="003406D7"/>
    <w:rsid w:val="00340FB2"/>
    <w:rsid w:val="00341039"/>
    <w:rsid w:val="0034186C"/>
    <w:rsid w:val="00341AE5"/>
    <w:rsid w:val="00341B91"/>
    <w:rsid w:val="00341FB5"/>
    <w:rsid w:val="00341FE3"/>
    <w:rsid w:val="003421D1"/>
    <w:rsid w:val="00342AAC"/>
    <w:rsid w:val="00342BCF"/>
    <w:rsid w:val="00343224"/>
    <w:rsid w:val="0034335A"/>
    <w:rsid w:val="003435F2"/>
    <w:rsid w:val="00343B7D"/>
    <w:rsid w:val="00344189"/>
    <w:rsid w:val="00344301"/>
    <w:rsid w:val="003446C1"/>
    <w:rsid w:val="00345105"/>
    <w:rsid w:val="003453B9"/>
    <w:rsid w:val="003456AC"/>
    <w:rsid w:val="00345B35"/>
    <w:rsid w:val="003461B8"/>
    <w:rsid w:val="003466E0"/>
    <w:rsid w:val="0034697B"/>
    <w:rsid w:val="003470E5"/>
    <w:rsid w:val="003474A2"/>
    <w:rsid w:val="00347B0E"/>
    <w:rsid w:val="00350095"/>
    <w:rsid w:val="003502CE"/>
    <w:rsid w:val="003506A6"/>
    <w:rsid w:val="003513B7"/>
    <w:rsid w:val="003515A3"/>
    <w:rsid w:val="0035206E"/>
    <w:rsid w:val="003524C6"/>
    <w:rsid w:val="00352A17"/>
    <w:rsid w:val="00352C75"/>
    <w:rsid w:val="00352DF4"/>
    <w:rsid w:val="00353C45"/>
    <w:rsid w:val="00353C5D"/>
    <w:rsid w:val="00353EA4"/>
    <w:rsid w:val="00353FCA"/>
    <w:rsid w:val="0035407F"/>
    <w:rsid w:val="003547FE"/>
    <w:rsid w:val="00354F77"/>
    <w:rsid w:val="003551BF"/>
    <w:rsid w:val="0035539F"/>
    <w:rsid w:val="003553EE"/>
    <w:rsid w:val="003558DB"/>
    <w:rsid w:val="00355F4F"/>
    <w:rsid w:val="00356F28"/>
    <w:rsid w:val="00360297"/>
    <w:rsid w:val="003604B2"/>
    <w:rsid w:val="0036063A"/>
    <w:rsid w:val="003608C8"/>
    <w:rsid w:val="00360C15"/>
    <w:rsid w:val="00360CD2"/>
    <w:rsid w:val="00360DA6"/>
    <w:rsid w:val="0036184C"/>
    <w:rsid w:val="00361FA6"/>
    <w:rsid w:val="00362567"/>
    <w:rsid w:val="003625E2"/>
    <w:rsid w:val="00362C0C"/>
    <w:rsid w:val="00363843"/>
    <w:rsid w:val="00363B39"/>
    <w:rsid w:val="00364622"/>
    <w:rsid w:val="0036497F"/>
    <w:rsid w:val="00364AA3"/>
    <w:rsid w:val="00364DAD"/>
    <w:rsid w:val="00365896"/>
    <w:rsid w:val="00365B1E"/>
    <w:rsid w:val="00366074"/>
    <w:rsid w:val="00366227"/>
    <w:rsid w:val="003664D2"/>
    <w:rsid w:val="00366784"/>
    <w:rsid w:val="003667B0"/>
    <w:rsid w:val="00366815"/>
    <w:rsid w:val="00366D0F"/>
    <w:rsid w:val="00366FBD"/>
    <w:rsid w:val="00367646"/>
    <w:rsid w:val="003679CC"/>
    <w:rsid w:val="00367EFA"/>
    <w:rsid w:val="0037009F"/>
    <w:rsid w:val="00370DF7"/>
    <w:rsid w:val="0037155C"/>
    <w:rsid w:val="00371571"/>
    <w:rsid w:val="003717B1"/>
    <w:rsid w:val="003723D8"/>
    <w:rsid w:val="00372486"/>
    <w:rsid w:val="00372592"/>
    <w:rsid w:val="00372721"/>
    <w:rsid w:val="003730F8"/>
    <w:rsid w:val="003734A7"/>
    <w:rsid w:val="003736AB"/>
    <w:rsid w:val="00373B7E"/>
    <w:rsid w:val="00373E69"/>
    <w:rsid w:val="003741C8"/>
    <w:rsid w:val="00374EFE"/>
    <w:rsid w:val="003751E1"/>
    <w:rsid w:val="00375CCF"/>
    <w:rsid w:val="0037664E"/>
    <w:rsid w:val="00376790"/>
    <w:rsid w:val="003767C0"/>
    <w:rsid w:val="003768FF"/>
    <w:rsid w:val="00377167"/>
    <w:rsid w:val="003772F7"/>
    <w:rsid w:val="00380055"/>
    <w:rsid w:val="0038060C"/>
    <w:rsid w:val="003810F2"/>
    <w:rsid w:val="0038121B"/>
    <w:rsid w:val="00381FC2"/>
    <w:rsid w:val="0038214B"/>
    <w:rsid w:val="00382493"/>
    <w:rsid w:val="003828C1"/>
    <w:rsid w:val="003828D4"/>
    <w:rsid w:val="00383499"/>
    <w:rsid w:val="003835A1"/>
    <w:rsid w:val="00383A80"/>
    <w:rsid w:val="00383AA9"/>
    <w:rsid w:val="00384075"/>
    <w:rsid w:val="003842B9"/>
    <w:rsid w:val="003844DF"/>
    <w:rsid w:val="00384882"/>
    <w:rsid w:val="00384B2E"/>
    <w:rsid w:val="00385A83"/>
    <w:rsid w:val="00386280"/>
    <w:rsid w:val="003866AB"/>
    <w:rsid w:val="00386919"/>
    <w:rsid w:val="00386A91"/>
    <w:rsid w:val="003871BE"/>
    <w:rsid w:val="00387B61"/>
    <w:rsid w:val="00387BCF"/>
    <w:rsid w:val="00387CEF"/>
    <w:rsid w:val="00387D0C"/>
    <w:rsid w:val="00387E64"/>
    <w:rsid w:val="003906B9"/>
    <w:rsid w:val="00390AD8"/>
    <w:rsid w:val="00390B01"/>
    <w:rsid w:val="003913E4"/>
    <w:rsid w:val="0039140D"/>
    <w:rsid w:val="003916D4"/>
    <w:rsid w:val="003918D5"/>
    <w:rsid w:val="003920F4"/>
    <w:rsid w:val="00392322"/>
    <w:rsid w:val="003923F3"/>
    <w:rsid w:val="003926D7"/>
    <w:rsid w:val="00392A14"/>
    <w:rsid w:val="00392F4C"/>
    <w:rsid w:val="0039335A"/>
    <w:rsid w:val="00393916"/>
    <w:rsid w:val="00393AC3"/>
    <w:rsid w:val="003941E7"/>
    <w:rsid w:val="003947D4"/>
    <w:rsid w:val="00394B71"/>
    <w:rsid w:val="00394D5E"/>
    <w:rsid w:val="00394EF6"/>
    <w:rsid w:val="00395102"/>
    <w:rsid w:val="003958B6"/>
    <w:rsid w:val="0039592B"/>
    <w:rsid w:val="0039679A"/>
    <w:rsid w:val="00397448"/>
    <w:rsid w:val="00397820"/>
    <w:rsid w:val="003A082F"/>
    <w:rsid w:val="003A0E22"/>
    <w:rsid w:val="003A1B44"/>
    <w:rsid w:val="003A1EAC"/>
    <w:rsid w:val="003A2A70"/>
    <w:rsid w:val="003A2ACB"/>
    <w:rsid w:val="003A3D0C"/>
    <w:rsid w:val="003A4025"/>
    <w:rsid w:val="003A4144"/>
    <w:rsid w:val="003A4E0C"/>
    <w:rsid w:val="003A53E2"/>
    <w:rsid w:val="003A554B"/>
    <w:rsid w:val="003A5D65"/>
    <w:rsid w:val="003A6B4D"/>
    <w:rsid w:val="003A71E1"/>
    <w:rsid w:val="003A7590"/>
    <w:rsid w:val="003A7829"/>
    <w:rsid w:val="003B009C"/>
    <w:rsid w:val="003B02F8"/>
    <w:rsid w:val="003B1939"/>
    <w:rsid w:val="003B2059"/>
    <w:rsid w:val="003B2D71"/>
    <w:rsid w:val="003B3080"/>
    <w:rsid w:val="003B30F8"/>
    <w:rsid w:val="003B32A7"/>
    <w:rsid w:val="003B3857"/>
    <w:rsid w:val="003B4054"/>
    <w:rsid w:val="003B40C9"/>
    <w:rsid w:val="003B4D0A"/>
    <w:rsid w:val="003B5875"/>
    <w:rsid w:val="003B5B3B"/>
    <w:rsid w:val="003B6112"/>
    <w:rsid w:val="003B6354"/>
    <w:rsid w:val="003B63F1"/>
    <w:rsid w:val="003B6650"/>
    <w:rsid w:val="003B725D"/>
    <w:rsid w:val="003C05C9"/>
    <w:rsid w:val="003C05F0"/>
    <w:rsid w:val="003C1195"/>
    <w:rsid w:val="003C18FC"/>
    <w:rsid w:val="003C1B9A"/>
    <w:rsid w:val="003C1E81"/>
    <w:rsid w:val="003C27B2"/>
    <w:rsid w:val="003C2A60"/>
    <w:rsid w:val="003C2C26"/>
    <w:rsid w:val="003C2ECB"/>
    <w:rsid w:val="003C2F24"/>
    <w:rsid w:val="003C30D1"/>
    <w:rsid w:val="003C3105"/>
    <w:rsid w:val="003C3311"/>
    <w:rsid w:val="003C398D"/>
    <w:rsid w:val="003C3C7E"/>
    <w:rsid w:val="003C4464"/>
    <w:rsid w:val="003C4EDA"/>
    <w:rsid w:val="003C51B4"/>
    <w:rsid w:val="003C5D6F"/>
    <w:rsid w:val="003C67C4"/>
    <w:rsid w:val="003C691D"/>
    <w:rsid w:val="003C6998"/>
    <w:rsid w:val="003C6C85"/>
    <w:rsid w:val="003C6D88"/>
    <w:rsid w:val="003C722F"/>
    <w:rsid w:val="003C74A9"/>
    <w:rsid w:val="003C7AA1"/>
    <w:rsid w:val="003D1075"/>
    <w:rsid w:val="003D1845"/>
    <w:rsid w:val="003D1BD6"/>
    <w:rsid w:val="003D1C47"/>
    <w:rsid w:val="003D1FA9"/>
    <w:rsid w:val="003D2540"/>
    <w:rsid w:val="003D27B2"/>
    <w:rsid w:val="003D2996"/>
    <w:rsid w:val="003D381E"/>
    <w:rsid w:val="003D39A3"/>
    <w:rsid w:val="003D39BB"/>
    <w:rsid w:val="003D3A82"/>
    <w:rsid w:val="003D4965"/>
    <w:rsid w:val="003D4BA6"/>
    <w:rsid w:val="003D5816"/>
    <w:rsid w:val="003D5FD1"/>
    <w:rsid w:val="003D660A"/>
    <w:rsid w:val="003D6C44"/>
    <w:rsid w:val="003D6FD9"/>
    <w:rsid w:val="003D735D"/>
    <w:rsid w:val="003D7576"/>
    <w:rsid w:val="003D7A50"/>
    <w:rsid w:val="003E0185"/>
    <w:rsid w:val="003E0BAF"/>
    <w:rsid w:val="003E1B12"/>
    <w:rsid w:val="003E1CE9"/>
    <w:rsid w:val="003E1EC3"/>
    <w:rsid w:val="003E2143"/>
    <w:rsid w:val="003E2566"/>
    <w:rsid w:val="003E2578"/>
    <w:rsid w:val="003E2B36"/>
    <w:rsid w:val="003E3583"/>
    <w:rsid w:val="003E3FD8"/>
    <w:rsid w:val="003E4231"/>
    <w:rsid w:val="003E4D6F"/>
    <w:rsid w:val="003E5221"/>
    <w:rsid w:val="003E5374"/>
    <w:rsid w:val="003E5FC0"/>
    <w:rsid w:val="003E61A6"/>
    <w:rsid w:val="003E695B"/>
    <w:rsid w:val="003E71AA"/>
    <w:rsid w:val="003E7346"/>
    <w:rsid w:val="003E74AF"/>
    <w:rsid w:val="003E7DAF"/>
    <w:rsid w:val="003E7E17"/>
    <w:rsid w:val="003F0013"/>
    <w:rsid w:val="003F0053"/>
    <w:rsid w:val="003F08C1"/>
    <w:rsid w:val="003F08FD"/>
    <w:rsid w:val="003F114D"/>
    <w:rsid w:val="003F1430"/>
    <w:rsid w:val="003F1448"/>
    <w:rsid w:val="003F14A3"/>
    <w:rsid w:val="003F18E6"/>
    <w:rsid w:val="003F1AE2"/>
    <w:rsid w:val="003F26AA"/>
    <w:rsid w:val="003F295C"/>
    <w:rsid w:val="003F2C1F"/>
    <w:rsid w:val="003F2DF7"/>
    <w:rsid w:val="003F2FD0"/>
    <w:rsid w:val="003F30EE"/>
    <w:rsid w:val="003F33A5"/>
    <w:rsid w:val="003F3A71"/>
    <w:rsid w:val="003F3D08"/>
    <w:rsid w:val="003F3D75"/>
    <w:rsid w:val="003F3FE5"/>
    <w:rsid w:val="003F4080"/>
    <w:rsid w:val="003F45CB"/>
    <w:rsid w:val="003F45F3"/>
    <w:rsid w:val="003F47BE"/>
    <w:rsid w:val="003F4E89"/>
    <w:rsid w:val="003F5D77"/>
    <w:rsid w:val="003F5ED4"/>
    <w:rsid w:val="003F613B"/>
    <w:rsid w:val="003F6692"/>
    <w:rsid w:val="003F6B77"/>
    <w:rsid w:val="003F6D58"/>
    <w:rsid w:val="003F6E20"/>
    <w:rsid w:val="003F6F54"/>
    <w:rsid w:val="003F70C6"/>
    <w:rsid w:val="003F797F"/>
    <w:rsid w:val="003F7C31"/>
    <w:rsid w:val="004000F2"/>
    <w:rsid w:val="004005A0"/>
    <w:rsid w:val="004006B8"/>
    <w:rsid w:val="00400FF4"/>
    <w:rsid w:val="00401336"/>
    <w:rsid w:val="00401A05"/>
    <w:rsid w:val="00401CB8"/>
    <w:rsid w:val="00401D6A"/>
    <w:rsid w:val="00402093"/>
    <w:rsid w:val="00402617"/>
    <w:rsid w:val="00402D5E"/>
    <w:rsid w:val="00403CC9"/>
    <w:rsid w:val="00404201"/>
    <w:rsid w:val="00404A2C"/>
    <w:rsid w:val="00404D7A"/>
    <w:rsid w:val="004057AD"/>
    <w:rsid w:val="00405B16"/>
    <w:rsid w:val="00405B8D"/>
    <w:rsid w:val="00405D22"/>
    <w:rsid w:val="00406B8A"/>
    <w:rsid w:val="00406DC1"/>
    <w:rsid w:val="00406F25"/>
    <w:rsid w:val="0040726D"/>
    <w:rsid w:val="0040791C"/>
    <w:rsid w:val="00407F83"/>
    <w:rsid w:val="0041076E"/>
    <w:rsid w:val="00410788"/>
    <w:rsid w:val="00411EAE"/>
    <w:rsid w:val="00411EC0"/>
    <w:rsid w:val="00412282"/>
    <w:rsid w:val="004123E2"/>
    <w:rsid w:val="004129D2"/>
    <w:rsid w:val="0041365E"/>
    <w:rsid w:val="00413793"/>
    <w:rsid w:val="0041450D"/>
    <w:rsid w:val="00414607"/>
    <w:rsid w:val="004150E1"/>
    <w:rsid w:val="004154AE"/>
    <w:rsid w:val="0041581B"/>
    <w:rsid w:val="0041599B"/>
    <w:rsid w:val="00415AC2"/>
    <w:rsid w:val="00415B25"/>
    <w:rsid w:val="00415FD1"/>
    <w:rsid w:val="0041799B"/>
    <w:rsid w:val="00420CF7"/>
    <w:rsid w:val="004214BB"/>
    <w:rsid w:val="0042184C"/>
    <w:rsid w:val="00421BF7"/>
    <w:rsid w:val="00421E94"/>
    <w:rsid w:val="0042234E"/>
    <w:rsid w:val="004223A2"/>
    <w:rsid w:val="00422915"/>
    <w:rsid w:val="0042499A"/>
    <w:rsid w:val="00424C20"/>
    <w:rsid w:val="0042548C"/>
    <w:rsid w:val="00425BF6"/>
    <w:rsid w:val="00425C51"/>
    <w:rsid w:val="00425CF9"/>
    <w:rsid w:val="004264E1"/>
    <w:rsid w:val="004266DD"/>
    <w:rsid w:val="004274CD"/>
    <w:rsid w:val="004277BC"/>
    <w:rsid w:val="00427B36"/>
    <w:rsid w:val="00427CC6"/>
    <w:rsid w:val="00430178"/>
    <w:rsid w:val="00430361"/>
    <w:rsid w:val="004305CE"/>
    <w:rsid w:val="0043082D"/>
    <w:rsid w:val="00430ED0"/>
    <w:rsid w:val="0043101C"/>
    <w:rsid w:val="004311C6"/>
    <w:rsid w:val="0043144A"/>
    <w:rsid w:val="004319E3"/>
    <w:rsid w:val="00432119"/>
    <w:rsid w:val="0043246B"/>
    <w:rsid w:val="00432693"/>
    <w:rsid w:val="00432D2D"/>
    <w:rsid w:val="00432FA7"/>
    <w:rsid w:val="00433210"/>
    <w:rsid w:val="004343C2"/>
    <w:rsid w:val="0043478A"/>
    <w:rsid w:val="004348C5"/>
    <w:rsid w:val="0043553F"/>
    <w:rsid w:val="0043569E"/>
    <w:rsid w:val="00435DAC"/>
    <w:rsid w:val="004368E4"/>
    <w:rsid w:val="00436B5C"/>
    <w:rsid w:val="00436D52"/>
    <w:rsid w:val="00437601"/>
    <w:rsid w:val="004377EE"/>
    <w:rsid w:val="004377F6"/>
    <w:rsid w:val="00437903"/>
    <w:rsid w:val="00437F22"/>
    <w:rsid w:val="004400FE"/>
    <w:rsid w:val="00440184"/>
    <w:rsid w:val="0044072A"/>
    <w:rsid w:val="00440FAB"/>
    <w:rsid w:val="00441710"/>
    <w:rsid w:val="00441B15"/>
    <w:rsid w:val="00441FD4"/>
    <w:rsid w:val="00442412"/>
    <w:rsid w:val="00442429"/>
    <w:rsid w:val="00442D23"/>
    <w:rsid w:val="00442DB7"/>
    <w:rsid w:val="00443760"/>
    <w:rsid w:val="0044387C"/>
    <w:rsid w:val="00443956"/>
    <w:rsid w:val="00443B2F"/>
    <w:rsid w:val="00444348"/>
    <w:rsid w:val="00444C84"/>
    <w:rsid w:val="00445359"/>
    <w:rsid w:val="00445767"/>
    <w:rsid w:val="0044613E"/>
    <w:rsid w:val="00446D27"/>
    <w:rsid w:val="00446F56"/>
    <w:rsid w:val="00447948"/>
    <w:rsid w:val="00447FE8"/>
    <w:rsid w:val="004511D3"/>
    <w:rsid w:val="0045165D"/>
    <w:rsid w:val="00451920"/>
    <w:rsid w:val="00451C9A"/>
    <w:rsid w:val="00452286"/>
    <w:rsid w:val="00452734"/>
    <w:rsid w:val="0045279D"/>
    <w:rsid w:val="004530BE"/>
    <w:rsid w:val="00453243"/>
    <w:rsid w:val="004532F2"/>
    <w:rsid w:val="00453372"/>
    <w:rsid w:val="00454179"/>
    <w:rsid w:val="004547BB"/>
    <w:rsid w:val="0045489A"/>
    <w:rsid w:val="00454CAE"/>
    <w:rsid w:val="00454DC7"/>
    <w:rsid w:val="0045508A"/>
    <w:rsid w:val="00455331"/>
    <w:rsid w:val="00455526"/>
    <w:rsid w:val="00455B43"/>
    <w:rsid w:val="00456120"/>
    <w:rsid w:val="004569C8"/>
    <w:rsid w:val="00456C1E"/>
    <w:rsid w:val="004573FD"/>
    <w:rsid w:val="00457419"/>
    <w:rsid w:val="00457A6E"/>
    <w:rsid w:val="00457CDA"/>
    <w:rsid w:val="004602E1"/>
    <w:rsid w:val="0046047C"/>
    <w:rsid w:val="004609E0"/>
    <w:rsid w:val="00460D48"/>
    <w:rsid w:val="004612DC"/>
    <w:rsid w:val="004617EC"/>
    <w:rsid w:val="0046188D"/>
    <w:rsid w:val="004623B0"/>
    <w:rsid w:val="0046290D"/>
    <w:rsid w:val="004638FB"/>
    <w:rsid w:val="00463A8B"/>
    <w:rsid w:val="004650B4"/>
    <w:rsid w:val="00465180"/>
    <w:rsid w:val="004653CD"/>
    <w:rsid w:val="004654C7"/>
    <w:rsid w:val="004656EA"/>
    <w:rsid w:val="00465999"/>
    <w:rsid w:val="00466700"/>
    <w:rsid w:val="004671A6"/>
    <w:rsid w:val="004672C6"/>
    <w:rsid w:val="004674EE"/>
    <w:rsid w:val="00467690"/>
    <w:rsid w:val="00467869"/>
    <w:rsid w:val="00467E02"/>
    <w:rsid w:val="00470873"/>
    <w:rsid w:val="0047121F"/>
    <w:rsid w:val="004713BE"/>
    <w:rsid w:val="0047229E"/>
    <w:rsid w:val="0047432A"/>
    <w:rsid w:val="004749CB"/>
    <w:rsid w:val="00474A3A"/>
    <w:rsid w:val="004751B8"/>
    <w:rsid w:val="00475E25"/>
    <w:rsid w:val="00476410"/>
    <w:rsid w:val="0047681C"/>
    <w:rsid w:val="004768DC"/>
    <w:rsid w:val="00476D92"/>
    <w:rsid w:val="00477217"/>
    <w:rsid w:val="0047741E"/>
    <w:rsid w:val="00477490"/>
    <w:rsid w:val="00477FFB"/>
    <w:rsid w:val="004803C6"/>
    <w:rsid w:val="00480D2A"/>
    <w:rsid w:val="00481D8F"/>
    <w:rsid w:val="00482384"/>
    <w:rsid w:val="00483D2D"/>
    <w:rsid w:val="004842A2"/>
    <w:rsid w:val="00484EE7"/>
    <w:rsid w:val="00484F8F"/>
    <w:rsid w:val="004850E8"/>
    <w:rsid w:val="00485171"/>
    <w:rsid w:val="00485582"/>
    <w:rsid w:val="00486363"/>
    <w:rsid w:val="00486425"/>
    <w:rsid w:val="00486502"/>
    <w:rsid w:val="004865C5"/>
    <w:rsid w:val="0048745B"/>
    <w:rsid w:val="0048795D"/>
    <w:rsid w:val="00487CE9"/>
    <w:rsid w:val="004900F0"/>
    <w:rsid w:val="004906A6"/>
    <w:rsid w:val="00490F19"/>
    <w:rsid w:val="00491D23"/>
    <w:rsid w:val="00491D8B"/>
    <w:rsid w:val="00492084"/>
    <w:rsid w:val="0049219D"/>
    <w:rsid w:val="00492447"/>
    <w:rsid w:val="004929A8"/>
    <w:rsid w:val="00492D2F"/>
    <w:rsid w:val="00492EF6"/>
    <w:rsid w:val="004930E2"/>
    <w:rsid w:val="004936EE"/>
    <w:rsid w:val="004938B2"/>
    <w:rsid w:val="00493F6D"/>
    <w:rsid w:val="004943D9"/>
    <w:rsid w:val="0049472D"/>
    <w:rsid w:val="004947BE"/>
    <w:rsid w:val="00494F5C"/>
    <w:rsid w:val="00496182"/>
    <w:rsid w:val="004961E0"/>
    <w:rsid w:val="004967F6"/>
    <w:rsid w:val="0049711E"/>
    <w:rsid w:val="00497155"/>
    <w:rsid w:val="00497C54"/>
    <w:rsid w:val="004A0121"/>
    <w:rsid w:val="004A0E9D"/>
    <w:rsid w:val="004A0EB5"/>
    <w:rsid w:val="004A0ED0"/>
    <w:rsid w:val="004A0FC0"/>
    <w:rsid w:val="004A0FDD"/>
    <w:rsid w:val="004A122D"/>
    <w:rsid w:val="004A15A2"/>
    <w:rsid w:val="004A1A0F"/>
    <w:rsid w:val="004A1E16"/>
    <w:rsid w:val="004A2C31"/>
    <w:rsid w:val="004A2EDA"/>
    <w:rsid w:val="004A32BC"/>
    <w:rsid w:val="004A36CB"/>
    <w:rsid w:val="004A3758"/>
    <w:rsid w:val="004A3EA2"/>
    <w:rsid w:val="004A42C2"/>
    <w:rsid w:val="004A5067"/>
    <w:rsid w:val="004A5520"/>
    <w:rsid w:val="004A5A4E"/>
    <w:rsid w:val="004A608A"/>
    <w:rsid w:val="004A6284"/>
    <w:rsid w:val="004B0041"/>
    <w:rsid w:val="004B00B5"/>
    <w:rsid w:val="004B0B6F"/>
    <w:rsid w:val="004B1972"/>
    <w:rsid w:val="004B1B93"/>
    <w:rsid w:val="004B25B5"/>
    <w:rsid w:val="004B25FA"/>
    <w:rsid w:val="004B2D87"/>
    <w:rsid w:val="004B2FB8"/>
    <w:rsid w:val="004B31A9"/>
    <w:rsid w:val="004B32E1"/>
    <w:rsid w:val="004B37E6"/>
    <w:rsid w:val="004B42CD"/>
    <w:rsid w:val="004B4528"/>
    <w:rsid w:val="004B4B03"/>
    <w:rsid w:val="004B4EB2"/>
    <w:rsid w:val="004B4F5F"/>
    <w:rsid w:val="004B5A6B"/>
    <w:rsid w:val="004B5B6F"/>
    <w:rsid w:val="004B6061"/>
    <w:rsid w:val="004B660C"/>
    <w:rsid w:val="004B6649"/>
    <w:rsid w:val="004B7990"/>
    <w:rsid w:val="004B79D6"/>
    <w:rsid w:val="004B7ADC"/>
    <w:rsid w:val="004B7E60"/>
    <w:rsid w:val="004C00E7"/>
    <w:rsid w:val="004C05A2"/>
    <w:rsid w:val="004C0611"/>
    <w:rsid w:val="004C0DDB"/>
    <w:rsid w:val="004C0E21"/>
    <w:rsid w:val="004C0F77"/>
    <w:rsid w:val="004C102C"/>
    <w:rsid w:val="004C1C5E"/>
    <w:rsid w:val="004C2010"/>
    <w:rsid w:val="004C2617"/>
    <w:rsid w:val="004C2C16"/>
    <w:rsid w:val="004C3506"/>
    <w:rsid w:val="004C3C08"/>
    <w:rsid w:val="004C3D3A"/>
    <w:rsid w:val="004C4A6A"/>
    <w:rsid w:val="004C4ABB"/>
    <w:rsid w:val="004C5088"/>
    <w:rsid w:val="004C5C4F"/>
    <w:rsid w:val="004C5DD5"/>
    <w:rsid w:val="004C5E14"/>
    <w:rsid w:val="004C6129"/>
    <w:rsid w:val="004C661B"/>
    <w:rsid w:val="004C6C20"/>
    <w:rsid w:val="004C705C"/>
    <w:rsid w:val="004C70A2"/>
    <w:rsid w:val="004C737D"/>
    <w:rsid w:val="004C7578"/>
    <w:rsid w:val="004C797D"/>
    <w:rsid w:val="004C7CE8"/>
    <w:rsid w:val="004D01B9"/>
    <w:rsid w:val="004D0D29"/>
    <w:rsid w:val="004D0D51"/>
    <w:rsid w:val="004D17D2"/>
    <w:rsid w:val="004D1A52"/>
    <w:rsid w:val="004D253B"/>
    <w:rsid w:val="004D2608"/>
    <w:rsid w:val="004D2675"/>
    <w:rsid w:val="004D277B"/>
    <w:rsid w:val="004D28AF"/>
    <w:rsid w:val="004D328F"/>
    <w:rsid w:val="004D3582"/>
    <w:rsid w:val="004D35F4"/>
    <w:rsid w:val="004D38AD"/>
    <w:rsid w:val="004D3AEB"/>
    <w:rsid w:val="004D3BFE"/>
    <w:rsid w:val="004D3D41"/>
    <w:rsid w:val="004D4649"/>
    <w:rsid w:val="004D48DD"/>
    <w:rsid w:val="004D4B19"/>
    <w:rsid w:val="004D4F1C"/>
    <w:rsid w:val="004D5000"/>
    <w:rsid w:val="004D54E7"/>
    <w:rsid w:val="004D54F5"/>
    <w:rsid w:val="004D593E"/>
    <w:rsid w:val="004D62DF"/>
    <w:rsid w:val="004D630E"/>
    <w:rsid w:val="004D6682"/>
    <w:rsid w:val="004D6922"/>
    <w:rsid w:val="004D6C99"/>
    <w:rsid w:val="004D6D9C"/>
    <w:rsid w:val="004D7258"/>
    <w:rsid w:val="004D7274"/>
    <w:rsid w:val="004D7815"/>
    <w:rsid w:val="004D79A2"/>
    <w:rsid w:val="004D7CA3"/>
    <w:rsid w:val="004E017B"/>
    <w:rsid w:val="004E1064"/>
    <w:rsid w:val="004E2189"/>
    <w:rsid w:val="004E2518"/>
    <w:rsid w:val="004E25D5"/>
    <w:rsid w:val="004E2813"/>
    <w:rsid w:val="004E2955"/>
    <w:rsid w:val="004E3234"/>
    <w:rsid w:val="004E32C9"/>
    <w:rsid w:val="004E32F9"/>
    <w:rsid w:val="004E3595"/>
    <w:rsid w:val="004E359F"/>
    <w:rsid w:val="004E3AC4"/>
    <w:rsid w:val="004E47CE"/>
    <w:rsid w:val="004E4B5C"/>
    <w:rsid w:val="004E5073"/>
    <w:rsid w:val="004E5417"/>
    <w:rsid w:val="004E5661"/>
    <w:rsid w:val="004E5D0D"/>
    <w:rsid w:val="004E5DB9"/>
    <w:rsid w:val="004E5E33"/>
    <w:rsid w:val="004E5FF1"/>
    <w:rsid w:val="004E6599"/>
    <w:rsid w:val="004E7997"/>
    <w:rsid w:val="004E7DAC"/>
    <w:rsid w:val="004F047E"/>
    <w:rsid w:val="004F0B98"/>
    <w:rsid w:val="004F10A5"/>
    <w:rsid w:val="004F11F5"/>
    <w:rsid w:val="004F1A97"/>
    <w:rsid w:val="004F236E"/>
    <w:rsid w:val="004F2439"/>
    <w:rsid w:val="004F31AB"/>
    <w:rsid w:val="004F31DC"/>
    <w:rsid w:val="004F3CD3"/>
    <w:rsid w:val="004F3DD4"/>
    <w:rsid w:val="004F3F4F"/>
    <w:rsid w:val="004F4149"/>
    <w:rsid w:val="004F4360"/>
    <w:rsid w:val="004F467F"/>
    <w:rsid w:val="004F4D26"/>
    <w:rsid w:val="004F4F5E"/>
    <w:rsid w:val="004F58C8"/>
    <w:rsid w:val="004F5DF9"/>
    <w:rsid w:val="004F5E29"/>
    <w:rsid w:val="004F6B36"/>
    <w:rsid w:val="004F6FB1"/>
    <w:rsid w:val="004F7593"/>
    <w:rsid w:val="004F7CCA"/>
    <w:rsid w:val="00500B43"/>
    <w:rsid w:val="00500EA8"/>
    <w:rsid w:val="00500F5B"/>
    <w:rsid w:val="005014A8"/>
    <w:rsid w:val="005017A3"/>
    <w:rsid w:val="0050192B"/>
    <w:rsid w:val="00501AB0"/>
    <w:rsid w:val="00501AEF"/>
    <w:rsid w:val="00501E89"/>
    <w:rsid w:val="00502202"/>
    <w:rsid w:val="00502813"/>
    <w:rsid w:val="005028E7"/>
    <w:rsid w:val="00502BCD"/>
    <w:rsid w:val="005033E4"/>
    <w:rsid w:val="00503719"/>
    <w:rsid w:val="00503742"/>
    <w:rsid w:val="00503B52"/>
    <w:rsid w:val="00503C28"/>
    <w:rsid w:val="005040ED"/>
    <w:rsid w:val="00504101"/>
    <w:rsid w:val="005049FA"/>
    <w:rsid w:val="00504F53"/>
    <w:rsid w:val="005052F0"/>
    <w:rsid w:val="0050583A"/>
    <w:rsid w:val="0050591B"/>
    <w:rsid w:val="00505A5C"/>
    <w:rsid w:val="00506281"/>
    <w:rsid w:val="005063C8"/>
    <w:rsid w:val="00506D0F"/>
    <w:rsid w:val="00507201"/>
    <w:rsid w:val="00507B13"/>
    <w:rsid w:val="00507C5D"/>
    <w:rsid w:val="00507F95"/>
    <w:rsid w:val="0051013D"/>
    <w:rsid w:val="00510AF7"/>
    <w:rsid w:val="00511953"/>
    <w:rsid w:val="00511A18"/>
    <w:rsid w:val="0051204E"/>
    <w:rsid w:val="00512495"/>
    <w:rsid w:val="0051307E"/>
    <w:rsid w:val="00513265"/>
    <w:rsid w:val="005139F9"/>
    <w:rsid w:val="0051456A"/>
    <w:rsid w:val="00514C2A"/>
    <w:rsid w:val="0051504D"/>
    <w:rsid w:val="0051523F"/>
    <w:rsid w:val="00515532"/>
    <w:rsid w:val="00515C54"/>
    <w:rsid w:val="00515E27"/>
    <w:rsid w:val="00517086"/>
    <w:rsid w:val="00517419"/>
    <w:rsid w:val="005175FE"/>
    <w:rsid w:val="005177E3"/>
    <w:rsid w:val="00517D78"/>
    <w:rsid w:val="00517DD3"/>
    <w:rsid w:val="00517E48"/>
    <w:rsid w:val="00517E54"/>
    <w:rsid w:val="005210FE"/>
    <w:rsid w:val="005214BE"/>
    <w:rsid w:val="00522055"/>
    <w:rsid w:val="00522477"/>
    <w:rsid w:val="005225DE"/>
    <w:rsid w:val="005232FD"/>
    <w:rsid w:val="0052358F"/>
    <w:rsid w:val="00523675"/>
    <w:rsid w:val="00523CFB"/>
    <w:rsid w:val="00523E5C"/>
    <w:rsid w:val="00524464"/>
    <w:rsid w:val="0052451A"/>
    <w:rsid w:val="00524646"/>
    <w:rsid w:val="00524CB2"/>
    <w:rsid w:val="00525312"/>
    <w:rsid w:val="005256E5"/>
    <w:rsid w:val="00525BF4"/>
    <w:rsid w:val="00525C66"/>
    <w:rsid w:val="005266CE"/>
    <w:rsid w:val="005269F7"/>
    <w:rsid w:val="00526C13"/>
    <w:rsid w:val="00526DA0"/>
    <w:rsid w:val="00527153"/>
    <w:rsid w:val="00527156"/>
    <w:rsid w:val="0052729E"/>
    <w:rsid w:val="005275E0"/>
    <w:rsid w:val="00527AED"/>
    <w:rsid w:val="005302DD"/>
    <w:rsid w:val="00530808"/>
    <w:rsid w:val="00531468"/>
    <w:rsid w:val="00531917"/>
    <w:rsid w:val="00531A16"/>
    <w:rsid w:val="005323FA"/>
    <w:rsid w:val="00532737"/>
    <w:rsid w:val="00533089"/>
    <w:rsid w:val="0053368A"/>
    <w:rsid w:val="00534392"/>
    <w:rsid w:val="00534A54"/>
    <w:rsid w:val="005353CE"/>
    <w:rsid w:val="005358F5"/>
    <w:rsid w:val="00535A59"/>
    <w:rsid w:val="00536BED"/>
    <w:rsid w:val="00536BF6"/>
    <w:rsid w:val="00536D9E"/>
    <w:rsid w:val="0053766F"/>
    <w:rsid w:val="00537823"/>
    <w:rsid w:val="00537B0C"/>
    <w:rsid w:val="00537B48"/>
    <w:rsid w:val="00540159"/>
    <w:rsid w:val="00540486"/>
    <w:rsid w:val="00540CE3"/>
    <w:rsid w:val="00541181"/>
    <w:rsid w:val="005414B2"/>
    <w:rsid w:val="00541FA5"/>
    <w:rsid w:val="0054254C"/>
    <w:rsid w:val="00542A11"/>
    <w:rsid w:val="005438F2"/>
    <w:rsid w:val="00543C39"/>
    <w:rsid w:val="00543DB9"/>
    <w:rsid w:val="00543E58"/>
    <w:rsid w:val="0054428B"/>
    <w:rsid w:val="00544C59"/>
    <w:rsid w:val="00544E47"/>
    <w:rsid w:val="00544FA3"/>
    <w:rsid w:val="00544FD6"/>
    <w:rsid w:val="00545013"/>
    <w:rsid w:val="00545443"/>
    <w:rsid w:val="0054580C"/>
    <w:rsid w:val="0054581F"/>
    <w:rsid w:val="005459F3"/>
    <w:rsid w:val="00545C3C"/>
    <w:rsid w:val="005462E8"/>
    <w:rsid w:val="00546481"/>
    <w:rsid w:val="005467D6"/>
    <w:rsid w:val="005469C3"/>
    <w:rsid w:val="00546EA4"/>
    <w:rsid w:val="00546EC4"/>
    <w:rsid w:val="00547047"/>
    <w:rsid w:val="00547B06"/>
    <w:rsid w:val="00547B1D"/>
    <w:rsid w:val="00550104"/>
    <w:rsid w:val="00550921"/>
    <w:rsid w:val="00550D42"/>
    <w:rsid w:val="005513D0"/>
    <w:rsid w:val="005516FE"/>
    <w:rsid w:val="00553216"/>
    <w:rsid w:val="00553689"/>
    <w:rsid w:val="00554678"/>
    <w:rsid w:val="005547AD"/>
    <w:rsid w:val="0055499F"/>
    <w:rsid w:val="00554F3B"/>
    <w:rsid w:val="00555199"/>
    <w:rsid w:val="00555391"/>
    <w:rsid w:val="005560B1"/>
    <w:rsid w:val="00556935"/>
    <w:rsid w:val="00556C4D"/>
    <w:rsid w:val="00557437"/>
    <w:rsid w:val="00557646"/>
    <w:rsid w:val="005603BE"/>
    <w:rsid w:val="00560BE6"/>
    <w:rsid w:val="00560BEC"/>
    <w:rsid w:val="00560FEB"/>
    <w:rsid w:val="00561548"/>
    <w:rsid w:val="00561A95"/>
    <w:rsid w:val="00561BE5"/>
    <w:rsid w:val="00561F5A"/>
    <w:rsid w:val="0056220A"/>
    <w:rsid w:val="00562346"/>
    <w:rsid w:val="0056261E"/>
    <w:rsid w:val="00562755"/>
    <w:rsid w:val="005632DD"/>
    <w:rsid w:val="00563BAB"/>
    <w:rsid w:val="00563C73"/>
    <w:rsid w:val="00563D59"/>
    <w:rsid w:val="00564B09"/>
    <w:rsid w:val="00564FCA"/>
    <w:rsid w:val="00565CC5"/>
    <w:rsid w:val="005661B1"/>
    <w:rsid w:val="0056626D"/>
    <w:rsid w:val="00566805"/>
    <w:rsid w:val="00567370"/>
    <w:rsid w:val="00567677"/>
    <w:rsid w:val="0056782D"/>
    <w:rsid w:val="00567EB7"/>
    <w:rsid w:val="00570050"/>
    <w:rsid w:val="005709B6"/>
    <w:rsid w:val="005710F8"/>
    <w:rsid w:val="0057197D"/>
    <w:rsid w:val="00571B7F"/>
    <w:rsid w:val="0057241C"/>
    <w:rsid w:val="00572425"/>
    <w:rsid w:val="005726B2"/>
    <w:rsid w:val="00572776"/>
    <w:rsid w:val="005727A3"/>
    <w:rsid w:val="00572F14"/>
    <w:rsid w:val="00572FF8"/>
    <w:rsid w:val="005732A3"/>
    <w:rsid w:val="00573C31"/>
    <w:rsid w:val="00573E69"/>
    <w:rsid w:val="005741AF"/>
    <w:rsid w:val="005743DA"/>
    <w:rsid w:val="00574467"/>
    <w:rsid w:val="0057472B"/>
    <w:rsid w:val="0057474F"/>
    <w:rsid w:val="00574A5F"/>
    <w:rsid w:val="00574A90"/>
    <w:rsid w:val="00574ABE"/>
    <w:rsid w:val="005755AF"/>
    <w:rsid w:val="0057632B"/>
    <w:rsid w:val="00576DAE"/>
    <w:rsid w:val="0057705F"/>
    <w:rsid w:val="0057730B"/>
    <w:rsid w:val="00577683"/>
    <w:rsid w:val="00577D37"/>
    <w:rsid w:val="005803A7"/>
    <w:rsid w:val="00580891"/>
    <w:rsid w:val="00580B55"/>
    <w:rsid w:val="00581BB3"/>
    <w:rsid w:val="005821BE"/>
    <w:rsid w:val="005824E3"/>
    <w:rsid w:val="0058262D"/>
    <w:rsid w:val="00583128"/>
    <w:rsid w:val="0058318D"/>
    <w:rsid w:val="00583228"/>
    <w:rsid w:val="00583647"/>
    <w:rsid w:val="00583DDD"/>
    <w:rsid w:val="00583FAB"/>
    <w:rsid w:val="005849B2"/>
    <w:rsid w:val="005849B3"/>
    <w:rsid w:val="00584CD0"/>
    <w:rsid w:val="00584D11"/>
    <w:rsid w:val="00585D8F"/>
    <w:rsid w:val="005864D3"/>
    <w:rsid w:val="005869CB"/>
    <w:rsid w:val="00586D69"/>
    <w:rsid w:val="00587033"/>
    <w:rsid w:val="005874BA"/>
    <w:rsid w:val="00587509"/>
    <w:rsid w:val="005876D1"/>
    <w:rsid w:val="00587786"/>
    <w:rsid w:val="00590598"/>
    <w:rsid w:val="00591540"/>
    <w:rsid w:val="00591A78"/>
    <w:rsid w:val="005920BD"/>
    <w:rsid w:val="005922B5"/>
    <w:rsid w:val="005927C1"/>
    <w:rsid w:val="00592AD9"/>
    <w:rsid w:val="00593AE8"/>
    <w:rsid w:val="00593E40"/>
    <w:rsid w:val="00594378"/>
    <w:rsid w:val="0059498D"/>
    <w:rsid w:val="005952D2"/>
    <w:rsid w:val="0059567C"/>
    <w:rsid w:val="005958F8"/>
    <w:rsid w:val="00595F11"/>
    <w:rsid w:val="0059662C"/>
    <w:rsid w:val="00596876"/>
    <w:rsid w:val="00596D65"/>
    <w:rsid w:val="0059718C"/>
    <w:rsid w:val="005974A8"/>
    <w:rsid w:val="005A045B"/>
    <w:rsid w:val="005A0B33"/>
    <w:rsid w:val="005A105E"/>
    <w:rsid w:val="005A13D3"/>
    <w:rsid w:val="005A15E5"/>
    <w:rsid w:val="005A21C9"/>
    <w:rsid w:val="005A28A0"/>
    <w:rsid w:val="005A2B53"/>
    <w:rsid w:val="005A2D65"/>
    <w:rsid w:val="005A3013"/>
    <w:rsid w:val="005A3579"/>
    <w:rsid w:val="005A3909"/>
    <w:rsid w:val="005A3A58"/>
    <w:rsid w:val="005A430C"/>
    <w:rsid w:val="005A50DC"/>
    <w:rsid w:val="005A521C"/>
    <w:rsid w:val="005A5860"/>
    <w:rsid w:val="005A5DD7"/>
    <w:rsid w:val="005A6069"/>
    <w:rsid w:val="005A67FE"/>
    <w:rsid w:val="005A7C25"/>
    <w:rsid w:val="005B0239"/>
    <w:rsid w:val="005B0608"/>
    <w:rsid w:val="005B087F"/>
    <w:rsid w:val="005B1670"/>
    <w:rsid w:val="005B16D0"/>
    <w:rsid w:val="005B1C04"/>
    <w:rsid w:val="005B2669"/>
    <w:rsid w:val="005B26DA"/>
    <w:rsid w:val="005B2809"/>
    <w:rsid w:val="005B2BC8"/>
    <w:rsid w:val="005B31B7"/>
    <w:rsid w:val="005B365F"/>
    <w:rsid w:val="005B371C"/>
    <w:rsid w:val="005B3BA2"/>
    <w:rsid w:val="005B3C4D"/>
    <w:rsid w:val="005B3CC8"/>
    <w:rsid w:val="005B4622"/>
    <w:rsid w:val="005B4919"/>
    <w:rsid w:val="005B4EA3"/>
    <w:rsid w:val="005B5801"/>
    <w:rsid w:val="005B5812"/>
    <w:rsid w:val="005B585A"/>
    <w:rsid w:val="005B5F1F"/>
    <w:rsid w:val="005B65B3"/>
    <w:rsid w:val="005B66B7"/>
    <w:rsid w:val="005B6F0A"/>
    <w:rsid w:val="005B6FF5"/>
    <w:rsid w:val="005B709E"/>
    <w:rsid w:val="005B7838"/>
    <w:rsid w:val="005B78C0"/>
    <w:rsid w:val="005B7CFB"/>
    <w:rsid w:val="005B7ED0"/>
    <w:rsid w:val="005C00F1"/>
    <w:rsid w:val="005C0873"/>
    <w:rsid w:val="005C0877"/>
    <w:rsid w:val="005C0F99"/>
    <w:rsid w:val="005C1950"/>
    <w:rsid w:val="005C199E"/>
    <w:rsid w:val="005C1B19"/>
    <w:rsid w:val="005C1E9A"/>
    <w:rsid w:val="005C20C4"/>
    <w:rsid w:val="005C219E"/>
    <w:rsid w:val="005C227A"/>
    <w:rsid w:val="005C2A70"/>
    <w:rsid w:val="005C2F71"/>
    <w:rsid w:val="005C3433"/>
    <w:rsid w:val="005C463B"/>
    <w:rsid w:val="005C4744"/>
    <w:rsid w:val="005C4EC7"/>
    <w:rsid w:val="005C52A0"/>
    <w:rsid w:val="005C5A6D"/>
    <w:rsid w:val="005C6187"/>
    <w:rsid w:val="005C62A1"/>
    <w:rsid w:val="005C6A2B"/>
    <w:rsid w:val="005C6E0F"/>
    <w:rsid w:val="005C7A4C"/>
    <w:rsid w:val="005D0147"/>
    <w:rsid w:val="005D015B"/>
    <w:rsid w:val="005D0A69"/>
    <w:rsid w:val="005D0DB2"/>
    <w:rsid w:val="005D16B8"/>
    <w:rsid w:val="005D26C8"/>
    <w:rsid w:val="005D2BF9"/>
    <w:rsid w:val="005D2C21"/>
    <w:rsid w:val="005D3026"/>
    <w:rsid w:val="005D30A8"/>
    <w:rsid w:val="005D3646"/>
    <w:rsid w:val="005D36C7"/>
    <w:rsid w:val="005D4030"/>
    <w:rsid w:val="005D4478"/>
    <w:rsid w:val="005D44F8"/>
    <w:rsid w:val="005D4AB7"/>
    <w:rsid w:val="005D4C0D"/>
    <w:rsid w:val="005D4C64"/>
    <w:rsid w:val="005D4D7B"/>
    <w:rsid w:val="005D590D"/>
    <w:rsid w:val="005D5F2C"/>
    <w:rsid w:val="005D6252"/>
    <w:rsid w:val="005D6ADD"/>
    <w:rsid w:val="005D6C49"/>
    <w:rsid w:val="005D6D4B"/>
    <w:rsid w:val="005D7C04"/>
    <w:rsid w:val="005D7C2B"/>
    <w:rsid w:val="005D7CFA"/>
    <w:rsid w:val="005D7DB8"/>
    <w:rsid w:val="005D7F85"/>
    <w:rsid w:val="005E00DC"/>
    <w:rsid w:val="005E015A"/>
    <w:rsid w:val="005E061E"/>
    <w:rsid w:val="005E065D"/>
    <w:rsid w:val="005E110D"/>
    <w:rsid w:val="005E1DAE"/>
    <w:rsid w:val="005E1F9E"/>
    <w:rsid w:val="005E267C"/>
    <w:rsid w:val="005E2788"/>
    <w:rsid w:val="005E2A5E"/>
    <w:rsid w:val="005E2BCC"/>
    <w:rsid w:val="005E324B"/>
    <w:rsid w:val="005E38D0"/>
    <w:rsid w:val="005E4155"/>
    <w:rsid w:val="005E4368"/>
    <w:rsid w:val="005E49B0"/>
    <w:rsid w:val="005E49C7"/>
    <w:rsid w:val="005E4FAD"/>
    <w:rsid w:val="005E5147"/>
    <w:rsid w:val="005E5405"/>
    <w:rsid w:val="005E5642"/>
    <w:rsid w:val="005E56BC"/>
    <w:rsid w:val="005E5863"/>
    <w:rsid w:val="005E586A"/>
    <w:rsid w:val="005E701C"/>
    <w:rsid w:val="005E705E"/>
    <w:rsid w:val="005E7385"/>
    <w:rsid w:val="005E75FA"/>
    <w:rsid w:val="005E7CDF"/>
    <w:rsid w:val="005F00DF"/>
    <w:rsid w:val="005F055E"/>
    <w:rsid w:val="005F0658"/>
    <w:rsid w:val="005F068B"/>
    <w:rsid w:val="005F0EDD"/>
    <w:rsid w:val="005F0F89"/>
    <w:rsid w:val="005F113D"/>
    <w:rsid w:val="005F1C2F"/>
    <w:rsid w:val="005F209B"/>
    <w:rsid w:val="005F368D"/>
    <w:rsid w:val="005F53E6"/>
    <w:rsid w:val="005F64A9"/>
    <w:rsid w:val="005F6C31"/>
    <w:rsid w:val="005F72E5"/>
    <w:rsid w:val="005F7401"/>
    <w:rsid w:val="005F7871"/>
    <w:rsid w:val="005F7976"/>
    <w:rsid w:val="005F7BFD"/>
    <w:rsid w:val="005F7E23"/>
    <w:rsid w:val="005F7F12"/>
    <w:rsid w:val="00600E43"/>
    <w:rsid w:val="0060160F"/>
    <w:rsid w:val="00601663"/>
    <w:rsid w:val="00601D8D"/>
    <w:rsid w:val="00602499"/>
    <w:rsid w:val="0060257A"/>
    <w:rsid w:val="00602A8E"/>
    <w:rsid w:val="00602E81"/>
    <w:rsid w:val="00602FF1"/>
    <w:rsid w:val="00603290"/>
    <w:rsid w:val="00603AD7"/>
    <w:rsid w:val="00603B2C"/>
    <w:rsid w:val="00603CB2"/>
    <w:rsid w:val="00603CF0"/>
    <w:rsid w:val="006042BE"/>
    <w:rsid w:val="0060452E"/>
    <w:rsid w:val="00604A01"/>
    <w:rsid w:val="00604A5D"/>
    <w:rsid w:val="00605771"/>
    <w:rsid w:val="00605CD1"/>
    <w:rsid w:val="00606075"/>
    <w:rsid w:val="006065EA"/>
    <w:rsid w:val="006070B8"/>
    <w:rsid w:val="0060735E"/>
    <w:rsid w:val="006073EA"/>
    <w:rsid w:val="006076A1"/>
    <w:rsid w:val="0061004D"/>
    <w:rsid w:val="00610054"/>
    <w:rsid w:val="006102FF"/>
    <w:rsid w:val="006106E3"/>
    <w:rsid w:val="00610A68"/>
    <w:rsid w:val="006121F3"/>
    <w:rsid w:val="00612F1D"/>
    <w:rsid w:val="006139CF"/>
    <w:rsid w:val="00613C2E"/>
    <w:rsid w:val="006143C2"/>
    <w:rsid w:val="00614610"/>
    <w:rsid w:val="00614649"/>
    <w:rsid w:val="006146BA"/>
    <w:rsid w:val="0061476B"/>
    <w:rsid w:val="00614831"/>
    <w:rsid w:val="00614A2C"/>
    <w:rsid w:val="00614CB6"/>
    <w:rsid w:val="00614D71"/>
    <w:rsid w:val="006157DD"/>
    <w:rsid w:val="006158FE"/>
    <w:rsid w:val="00616BDD"/>
    <w:rsid w:val="00616E92"/>
    <w:rsid w:val="00616F75"/>
    <w:rsid w:val="00616FB8"/>
    <w:rsid w:val="00617714"/>
    <w:rsid w:val="006177DC"/>
    <w:rsid w:val="00620282"/>
    <w:rsid w:val="00621482"/>
    <w:rsid w:val="00621695"/>
    <w:rsid w:val="00621FED"/>
    <w:rsid w:val="00622230"/>
    <w:rsid w:val="00622304"/>
    <w:rsid w:val="00622A5B"/>
    <w:rsid w:val="0062304A"/>
    <w:rsid w:val="006238F5"/>
    <w:rsid w:val="00623996"/>
    <w:rsid w:val="00624371"/>
    <w:rsid w:val="00624807"/>
    <w:rsid w:val="00624921"/>
    <w:rsid w:val="00624ADA"/>
    <w:rsid w:val="00624BB6"/>
    <w:rsid w:val="00624DE1"/>
    <w:rsid w:val="00626983"/>
    <w:rsid w:val="00626D1B"/>
    <w:rsid w:val="00626DA3"/>
    <w:rsid w:val="00626F17"/>
    <w:rsid w:val="006278AD"/>
    <w:rsid w:val="00627AC7"/>
    <w:rsid w:val="00627C7E"/>
    <w:rsid w:val="0063015B"/>
    <w:rsid w:val="0063022B"/>
    <w:rsid w:val="00630733"/>
    <w:rsid w:val="006308CA"/>
    <w:rsid w:val="006313D5"/>
    <w:rsid w:val="006315BB"/>
    <w:rsid w:val="00631747"/>
    <w:rsid w:val="00631A78"/>
    <w:rsid w:val="00631E79"/>
    <w:rsid w:val="00632681"/>
    <w:rsid w:val="0063288B"/>
    <w:rsid w:val="00632EEF"/>
    <w:rsid w:val="00632FC1"/>
    <w:rsid w:val="00633195"/>
    <w:rsid w:val="00633A66"/>
    <w:rsid w:val="00633A92"/>
    <w:rsid w:val="00633B1C"/>
    <w:rsid w:val="006340C4"/>
    <w:rsid w:val="00634200"/>
    <w:rsid w:val="006342C2"/>
    <w:rsid w:val="006345CD"/>
    <w:rsid w:val="00634958"/>
    <w:rsid w:val="00634B3B"/>
    <w:rsid w:val="00635333"/>
    <w:rsid w:val="00635534"/>
    <w:rsid w:val="006356F2"/>
    <w:rsid w:val="00636417"/>
    <w:rsid w:val="00636843"/>
    <w:rsid w:val="00636C85"/>
    <w:rsid w:val="006374B6"/>
    <w:rsid w:val="0063757E"/>
    <w:rsid w:val="00637802"/>
    <w:rsid w:val="006379AC"/>
    <w:rsid w:val="0064036D"/>
    <w:rsid w:val="00640721"/>
    <w:rsid w:val="00641BCD"/>
    <w:rsid w:val="00641C9B"/>
    <w:rsid w:val="0064200F"/>
    <w:rsid w:val="00642761"/>
    <w:rsid w:val="0064284C"/>
    <w:rsid w:val="00643096"/>
    <w:rsid w:val="00643D27"/>
    <w:rsid w:val="00643E5B"/>
    <w:rsid w:val="00643FF4"/>
    <w:rsid w:val="006440BB"/>
    <w:rsid w:val="00644137"/>
    <w:rsid w:val="00644414"/>
    <w:rsid w:val="006445F9"/>
    <w:rsid w:val="006449CB"/>
    <w:rsid w:val="006450F5"/>
    <w:rsid w:val="0064645D"/>
    <w:rsid w:val="00646612"/>
    <w:rsid w:val="00646A74"/>
    <w:rsid w:val="00646A99"/>
    <w:rsid w:val="00646F29"/>
    <w:rsid w:val="0064767B"/>
    <w:rsid w:val="00647AC7"/>
    <w:rsid w:val="00647C58"/>
    <w:rsid w:val="00647F06"/>
    <w:rsid w:val="00650104"/>
    <w:rsid w:val="00650546"/>
    <w:rsid w:val="00650EEF"/>
    <w:rsid w:val="00650F42"/>
    <w:rsid w:val="00651890"/>
    <w:rsid w:val="00651E1D"/>
    <w:rsid w:val="00652522"/>
    <w:rsid w:val="006526CD"/>
    <w:rsid w:val="00652D56"/>
    <w:rsid w:val="00652ECB"/>
    <w:rsid w:val="0065334C"/>
    <w:rsid w:val="00653C35"/>
    <w:rsid w:val="00653F9A"/>
    <w:rsid w:val="00654442"/>
    <w:rsid w:val="00654E57"/>
    <w:rsid w:val="00654F39"/>
    <w:rsid w:val="0065533D"/>
    <w:rsid w:val="006554F1"/>
    <w:rsid w:val="00655DF0"/>
    <w:rsid w:val="00655FFF"/>
    <w:rsid w:val="00656474"/>
    <w:rsid w:val="00656811"/>
    <w:rsid w:val="00657A3B"/>
    <w:rsid w:val="00657C27"/>
    <w:rsid w:val="00661039"/>
    <w:rsid w:val="006610FE"/>
    <w:rsid w:val="00661159"/>
    <w:rsid w:val="00661845"/>
    <w:rsid w:val="006619C1"/>
    <w:rsid w:val="00661A60"/>
    <w:rsid w:val="00661BF7"/>
    <w:rsid w:val="00661E0E"/>
    <w:rsid w:val="0066228F"/>
    <w:rsid w:val="00662B55"/>
    <w:rsid w:val="00662F33"/>
    <w:rsid w:val="00662FFF"/>
    <w:rsid w:val="0066315C"/>
    <w:rsid w:val="0066330B"/>
    <w:rsid w:val="0066337E"/>
    <w:rsid w:val="0066343E"/>
    <w:rsid w:val="006637FF"/>
    <w:rsid w:val="00664365"/>
    <w:rsid w:val="00664415"/>
    <w:rsid w:val="0066459A"/>
    <w:rsid w:val="0066556D"/>
    <w:rsid w:val="00665C43"/>
    <w:rsid w:val="00666036"/>
    <w:rsid w:val="00666208"/>
    <w:rsid w:val="00666A53"/>
    <w:rsid w:val="00666B58"/>
    <w:rsid w:val="006674FA"/>
    <w:rsid w:val="006676E5"/>
    <w:rsid w:val="00667826"/>
    <w:rsid w:val="00670287"/>
    <w:rsid w:val="006705EE"/>
    <w:rsid w:val="006706F2"/>
    <w:rsid w:val="00670708"/>
    <w:rsid w:val="00670E18"/>
    <w:rsid w:val="00671F36"/>
    <w:rsid w:val="00672354"/>
    <w:rsid w:val="00672495"/>
    <w:rsid w:val="00672A64"/>
    <w:rsid w:val="00673FEF"/>
    <w:rsid w:val="00674090"/>
    <w:rsid w:val="0067420B"/>
    <w:rsid w:val="00674481"/>
    <w:rsid w:val="00674A54"/>
    <w:rsid w:val="0067509B"/>
    <w:rsid w:val="00675433"/>
    <w:rsid w:val="006756BD"/>
    <w:rsid w:val="0067587B"/>
    <w:rsid w:val="00675ADA"/>
    <w:rsid w:val="00675BD3"/>
    <w:rsid w:val="00675C4F"/>
    <w:rsid w:val="0067636A"/>
    <w:rsid w:val="00676E40"/>
    <w:rsid w:val="00676E4A"/>
    <w:rsid w:val="00676F27"/>
    <w:rsid w:val="0067711D"/>
    <w:rsid w:val="00677834"/>
    <w:rsid w:val="00677A39"/>
    <w:rsid w:val="006801FE"/>
    <w:rsid w:val="00680559"/>
    <w:rsid w:val="00680C59"/>
    <w:rsid w:val="00680E9C"/>
    <w:rsid w:val="00680EF3"/>
    <w:rsid w:val="00681049"/>
    <w:rsid w:val="00681134"/>
    <w:rsid w:val="006811C9"/>
    <w:rsid w:val="006819CE"/>
    <w:rsid w:val="00681F5A"/>
    <w:rsid w:val="0068219B"/>
    <w:rsid w:val="00682948"/>
    <w:rsid w:val="00682A12"/>
    <w:rsid w:val="00682F69"/>
    <w:rsid w:val="00683293"/>
    <w:rsid w:val="006838B0"/>
    <w:rsid w:val="00683B99"/>
    <w:rsid w:val="00683D75"/>
    <w:rsid w:val="00683D7E"/>
    <w:rsid w:val="00683F08"/>
    <w:rsid w:val="006843AD"/>
    <w:rsid w:val="006843D7"/>
    <w:rsid w:val="0068447B"/>
    <w:rsid w:val="006849DA"/>
    <w:rsid w:val="00684E55"/>
    <w:rsid w:val="00684E7A"/>
    <w:rsid w:val="0068628A"/>
    <w:rsid w:val="00686450"/>
    <w:rsid w:val="006866F7"/>
    <w:rsid w:val="00686A57"/>
    <w:rsid w:val="00686D92"/>
    <w:rsid w:val="00687430"/>
    <w:rsid w:val="00687437"/>
    <w:rsid w:val="00687F73"/>
    <w:rsid w:val="0069088B"/>
    <w:rsid w:val="006908D6"/>
    <w:rsid w:val="00691E8C"/>
    <w:rsid w:val="00692118"/>
    <w:rsid w:val="006922AB"/>
    <w:rsid w:val="00692887"/>
    <w:rsid w:val="00693428"/>
    <w:rsid w:val="00694182"/>
    <w:rsid w:val="00694C84"/>
    <w:rsid w:val="00694E1F"/>
    <w:rsid w:val="006954DE"/>
    <w:rsid w:val="00695E26"/>
    <w:rsid w:val="00695E5B"/>
    <w:rsid w:val="0069636E"/>
    <w:rsid w:val="006963F0"/>
    <w:rsid w:val="00696696"/>
    <w:rsid w:val="00696C62"/>
    <w:rsid w:val="00696E15"/>
    <w:rsid w:val="00697248"/>
    <w:rsid w:val="006974B4"/>
    <w:rsid w:val="0069780A"/>
    <w:rsid w:val="006978E3"/>
    <w:rsid w:val="00697FDB"/>
    <w:rsid w:val="006A01A0"/>
    <w:rsid w:val="006A01D7"/>
    <w:rsid w:val="006A023A"/>
    <w:rsid w:val="006A04D6"/>
    <w:rsid w:val="006A05C8"/>
    <w:rsid w:val="006A06AA"/>
    <w:rsid w:val="006A0780"/>
    <w:rsid w:val="006A0D01"/>
    <w:rsid w:val="006A0E21"/>
    <w:rsid w:val="006A11D3"/>
    <w:rsid w:val="006A1A70"/>
    <w:rsid w:val="006A1D45"/>
    <w:rsid w:val="006A2072"/>
    <w:rsid w:val="006A2409"/>
    <w:rsid w:val="006A284F"/>
    <w:rsid w:val="006A2E5C"/>
    <w:rsid w:val="006A4245"/>
    <w:rsid w:val="006A4538"/>
    <w:rsid w:val="006A4897"/>
    <w:rsid w:val="006A4CE9"/>
    <w:rsid w:val="006A4E7E"/>
    <w:rsid w:val="006A4ED2"/>
    <w:rsid w:val="006A4FA4"/>
    <w:rsid w:val="006A5D42"/>
    <w:rsid w:val="006A605F"/>
    <w:rsid w:val="006A6C12"/>
    <w:rsid w:val="006A6D03"/>
    <w:rsid w:val="006A737B"/>
    <w:rsid w:val="006A78A0"/>
    <w:rsid w:val="006B00D9"/>
    <w:rsid w:val="006B046F"/>
    <w:rsid w:val="006B06B9"/>
    <w:rsid w:val="006B0F2E"/>
    <w:rsid w:val="006B1797"/>
    <w:rsid w:val="006B19B4"/>
    <w:rsid w:val="006B1E5F"/>
    <w:rsid w:val="006B2935"/>
    <w:rsid w:val="006B2A01"/>
    <w:rsid w:val="006B3B82"/>
    <w:rsid w:val="006B4089"/>
    <w:rsid w:val="006B4117"/>
    <w:rsid w:val="006B4EAA"/>
    <w:rsid w:val="006B544D"/>
    <w:rsid w:val="006B5BFC"/>
    <w:rsid w:val="006B63A8"/>
    <w:rsid w:val="006B63D6"/>
    <w:rsid w:val="006B676F"/>
    <w:rsid w:val="006B73A5"/>
    <w:rsid w:val="006B76F9"/>
    <w:rsid w:val="006C0A34"/>
    <w:rsid w:val="006C10F6"/>
    <w:rsid w:val="006C193C"/>
    <w:rsid w:val="006C194F"/>
    <w:rsid w:val="006C1EF4"/>
    <w:rsid w:val="006C2156"/>
    <w:rsid w:val="006C2177"/>
    <w:rsid w:val="006C25F9"/>
    <w:rsid w:val="006C2855"/>
    <w:rsid w:val="006C2A69"/>
    <w:rsid w:val="006C2D62"/>
    <w:rsid w:val="006C31EB"/>
    <w:rsid w:val="006C33C1"/>
    <w:rsid w:val="006C3EE6"/>
    <w:rsid w:val="006C3EFB"/>
    <w:rsid w:val="006C3FAF"/>
    <w:rsid w:val="006C4407"/>
    <w:rsid w:val="006C47AD"/>
    <w:rsid w:val="006C4F40"/>
    <w:rsid w:val="006C503D"/>
    <w:rsid w:val="006C5F08"/>
    <w:rsid w:val="006C6380"/>
    <w:rsid w:val="006C6DDD"/>
    <w:rsid w:val="006C7385"/>
    <w:rsid w:val="006C79E5"/>
    <w:rsid w:val="006C7C8A"/>
    <w:rsid w:val="006C7CB1"/>
    <w:rsid w:val="006D0371"/>
    <w:rsid w:val="006D06C0"/>
    <w:rsid w:val="006D07EE"/>
    <w:rsid w:val="006D0C05"/>
    <w:rsid w:val="006D0EA9"/>
    <w:rsid w:val="006D10EC"/>
    <w:rsid w:val="006D12AE"/>
    <w:rsid w:val="006D159A"/>
    <w:rsid w:val="006D1696"/>
    <w:rsid w:val="006D1CCF"/>
    <w:rsid w:val="006D20BB"/>
    <w:rsid w:val="006D2381"/>
    <w:rsid w:val="006D2567"/>
    <w:rsid w:val="006D3405"/>
    <w:rsid w:val="006D369E"/>
    <w:rsid w:val="006D3F36"/>
    <w:rsid w:val="006D406D"/>
    <w:rsid w:val="006D4184"/>
    <w:rsid w:val="006D4521"/>
    <w:rsid w:val="006D5244"/>
    <w:rsid w:val="006D5C36"/>
    <w:rsid w:val="006D6953"/>
    <w:rsid w:val="006D6D27"/>
    <w:rsid w:val="006D6D7D"/>
    <w:rsid w:val="006E057D"/>
    <w:rsid w:val="006E0ED7"/>
    <w:rsid w:val="006E0F19"/>
    <w:rsid w:val="006E1430"/>
    <w:rsid w:val="006E14A4"/>
    <w:rsid w:val="006E18DF"/>
    <w:rsid w:val="006E1A96"/>
    <w:rsid w:val="006E238D"/>
    <w:rsid w:val="006E2509"/>
    <w:rsid w:val="006E2C10"/>
    <w:rsid w:val="006E2CBE"/>
    <w:rsid w:val="006E2E3A"/>
    <w:rsid w:val="006E32F5"/>
    <w:rsid w:val="006E345F"/>
    <w:rsid w:val="006E4025"/>
    <w:rsid w:val="006E49A2"/>
    <w:rsid w:val="006E5FE8"/>
    <w:rsid w:val="006E7675"/>
    <w:rsid w:val="006E7B58"/>
    <w:rsid w:val="006F0323"/>
    <w:rsid w:val="006F0AF0"/>
    <w:rsid w:val="006F0BDA"/>
    <w:rsid w:val="006F100A"/>
    <w:rsid w:val="006F160C"/>
    <w:rsid w:val="006F21E5"/>
    <w:rsid w:val="006F2801"/>
    <w:rsid w:val="006F2A3A"/>
    <w:rsid w:val="006F2C7D"/>
    <w:rsid w:val="006F2E8D"/>
    <w:rsid w:val="006F31A1"/>
    <w:rsid w:val="006F3297"/>
    <w:rsid w:val="006F335E"/>
    <w:rsid w:val="006F3468"/>
    <w:rsid w:val="006F3638"/>
    <w:rsid w:val="006F366C"/>
    <w:rsid w:val="006F3C46"/>
    <w:rsid w:val="006F3F87"/>
    <w:rsid w:val="006F4237"/>
    <w:rsid w:val="006F4274"/>
    <w:rsid w:val="006F4884"/>
    <w:rsid w:val="006F4BB4"/>
    <w:rsid w:val="006F512B"/>
    <w:rsid w:val="006F569D"/>
    <w:rsid w:val="006F5980"/>
    <w:rsid w:val="006F6227"/>
    <w:rsid w:val="006F642F"/>
    <w:rsid w:val="006F686B"/>
    <w:rsid w:val="006F6A78"/>
    <w:rsid w:val="006F6EC8"/>
    <w:rsid w:val="006F7F8C"/>
    <w:rsid w:val="007000CF"/>
    <w:rsid w:val="007001CD"/>
    <w:rsid w:val="007008AA"/>
    <w:rsid w:val="007009AE"/>
    <w:rsid w:val="00701C54"/>
    <w:rsid w:val="00703758"/>
    <w:rsid w:val="00703B0D"/>
    <w:rsid w:val="00703F03"/>
    <w:rsid w:val="007042CB"/>
    <w:rsid w:val="0070442F"/>
    <w:rsid w:val="0070487D"/>
    <w:rsid w:val="00704EA2"/>
    <w:rsid w:val="00705BED"/>
    <w:rsid w:val="007067EA"/>
    <w:rsid w:val="00706841"/>
    <w:rsid w:val="00706857"/>
    <w:rsid w:val="00706B6E"/>
    <w:rsid w:val="00707704"/>
    <w:rsid w:val="00710465"/>
    <w:rsid w:val="007107BB"/>
    <w:rsid w:val="007107DB"/>
    <w:rsid w:val="007109E3"/>
    <w:rsid w:val="00710A6A"/>
    <w:rsid w:val="00711226"/>
    <w:rsid w:val="007120ED"/>
    <w:rsid w:val="007121BB"/>
    <w:rsid w:val="00712385"/>
    <w:rsid w:val="007129B6"/>
    <w:rsid w:val="00712BC3"/>
    <w:rsid w:val="00712CA5"/>
    <w:rsid w:val="0071336F"/>
    <w:rsid w:val="00713BAE"/>
    <w:rsid w:val="00713E9F"/>
    <w:rsid w:val="007144E4"/>
    <w:rsid w:val="007145EB"/>
    <w:rsid w:val="00714660"/>
    <w:rsid w:val="00714AA2"/>
    <w:rsid w:val="00714C17"/>
    <w:rsid w:val="007151BB"/>
    <w:rsid w:val="00715519"/>
    <w:rsid w:val="007155A2"/>
    <w:rsid w:val="0071592D"/>
    <w:rsid w:val="00716264"/>
    <w:rsid w:val="0071640E"/>
    <w:rsid w:val="0071680F"/>
    <w:rsid w:val="00716AC9"/>
    <w:rsid w:val="007176C8"/>
    <w:rsid w:val="007178D5"/>
    <w:rsid w:val="00717BAB"/>
    <w:rsid w:val="00717CC7"/>
    <w:rsid w:val="00717D95"/>
    <w:rsid w:val="0072036D"/>
    <w:rsid w:val="00720761"/>
    <w:rsid w:val="007208F6"/>
    <w:rsid w:val="00720FAC"/>
    <w:rsid w:val="0072104F"/>
    <w:rsid w:val="007210B4"/>
    <w:rsid w:val="007214A7"/>
    <w:rsid w:val="007214FA"/>
    <w:rsid w:val="00721CEA"/>
    <w:rsid w:val="00722B42"/>
    <w:rsid w:val="00722C7B"/>
    <w:rsid w:val="007232F0"/>
    <w:rsid w:val="00723339"/>
    <w:rsid w:val="00723C7C"/>
    <w:rsid w:val="00724152"/>
    <w:rsid w:val="007249E0"/>
    <w:rsid w:val="00726063"/>
    <w:rsid w:val="00726575"/>
    <w:rsid w:val="007269BB"/>
    <w:rsid w:val="007270E8"/>
    <w:rsid w:val="0072779C"/>
    <w:rsid w:val="00727F0F"/>
    <w:rsid w:val="007301AA"/>
    <w:rsid w:val="00730310"/>
    <w:rsid w:val="00730311"/>
    <w:rsid w:val="00730653"/>
    <w:rsid w:val="00730836"/>
    <w:rsid w:val="0073098D"/>
    <w:rsid w:val="007310B7"/>
    <w:rsid w:val="007313BC"/>
    <w:rsid w:val="00731424"/>
    <w:rsid w:val="00731F63"/>
    <w:rsid w:val="00732A8E"/>
    <w:rsid w:val="00732D60"/>
    <w:rsid w:val="00732FD0"/>
    <w:rsid w:val="007331AA"/>
    <w:rsid w:val="007331F9"/>
    <w:rsid w:val="0073399A"/>
    <w:rsid w:val="00735557"/>
    <w:rsid w:val="00735605"/>
    <w:rsid w:val="007359BD"/>
    <w:rsid w:val="00735C51"/>
    <w:rsid w:val="00735C66"/>
    <w:rsid w:val="0073694D"/>
    <w:rsid w:val="00737132"/>
    <w:rsid w:val="007377E2"/>
    <w:rsid w:val="00737BF6"/>
    <w:rsid w:val="007406B8"/>
    <w:rsid w:val="00740778"/>
    <w:rsid w:val="00740AFC"/>
    <w:rsid w:val="00741125"/>
    <w:rsid w:val="00741549"/>
    <w:rsid w:val="00741793"/>
    <w:rsid w:val="00741DA7"/>
    <w:rsid w:val="00741F8F"/>
    <w:rsid w:val="007420AA"/>
    <w:rsid w:val="007424CE"/>
    <w:rsid w:val="007426CB"/>
    <w:rsid w:val="00742DE6"/>
    <w:rsid w:val="00743009"/>
    <w:rsid w:val="00743086"/>
    <w:rsid w:val="00743B94"/>
    <w:rsid w:val="007447AF"/>
    <w:rsid w:val="00744BE2"/>
    <w:rsid w:val="00744EC1"/>
    <w:rsid w:val="00745985"/>
    <w:rsid w:val="0074605D"/>
    <w:rsid w:val="00746203"/>
    <w:rsid w:val="0074627F"/>
    <w:rsid w:val="0074642E"/>
    <w:rsid w:val="007464EC"/>
    <w:rsid w:val="00746B8F"/>
    <w:rsid w:val="00746EFE"/>
    <w:rsid w:val="00746F9B"/>
    <w:rsid w:val="007472E6"/>
    <w:rsid w:val="0074732F"/>
    <w:rsid w:val="00747750"/>
    <w:rsid w:val="00747825"/>
    <w:rsid w:val="00747917"/>
    <w:rsid w:val="007479EA"/>
    <w:rsid w:val="00747B64"/>
    <w:rsid w:val="0075024C"/>
    <w:rsid w:val="00750400"/>
    <w:rsid w:val="00750461"/>
    <w:rsid w:val="00750942"/>
    <w:rsid w:val="007509D3"/>
    <w:rsid w:val="00750D38"/>
    <w:rsid w:val="00751AC9"/>
    <w:rsid w:val="00751F49"/>
    <w:rsid w:val="007522F0"/>
    <w:rsid w:val="007524D3"/>
    <w:rsid w:val="00752716"/>
    <w:rsid w:val="00752969"/>
    <w:rsid w:val="00752C9E"/>
    <w:rsid w:val="007536D3"/>
    <w:rsid w:val="00754188"/>
    <w:rsid w:val="00754823"/>
    <w:rsid w:val="00754A96"/>
    <w:rsid w:val="00754A98"/>
    <w:rsid w:val="00755605"/>
    <w:rsid w:val="00755611"/>
    <w:rsid w:val="007556BF"/>
    <w:rsid w:val="00755D21"/>
    <w:rsid w:val="00756330"/>
    <w:rsid w:val="007564D4"/>
    <w:rsid w:val="00757A95"/>
    <w:rsid w:val="007604B8"/>
    <w:rsid w:val="00760A8C"/>
    <w:rsid w:val="00760CFC"/>
    <w:rsid w:val="0076112A"/>
    <w:rsid w:val="00761449"/>
    <w:rsid w:val="0076162D"/>
    <w:rsid w:val="0076173F"/>
    <w:rsid w:val="007617F5"/>
    <w:rsid w:val="00761C20"/>
    <w:rsid w:val="00761FFE"/>
    <w:rsid w:val="00762411"/>
    <w:rsid w:val="007629D3"/>
    <w:rsid w:val="00762CE9"/>
    <w:rsid w:val="007632FA"/>
    <w:rsid w:val="00764235"/>
    <w:rsid w:val="0076491E"/>
    <w:rsid w:val="00765130"/>
    <w:rsid w:val="007652A8"/>
    <w:rsid w:val="007654BB"/>
    <w:rsid w:val="00765A3E"/>
    <w:rsid w:val="00765C18"/>
    <w:rsid w:val="007663F3"/>
    <w:rsid w:val="00766C8F"/>
    <w:rsid w:val="007677CA"/>
    <w:rsid w:val="00767879"/>
    <w:rsid w:val="00767AB2"/>
    <w:rsid w:val="00767D1F"/>
    <w:rsid w:val="00770017"/>
    <w:rsid w:val="0077004B"/>
    <w:rsid w:val="007701B2"/>
    <w:rsid w:val="00770B80"/>
    <w:rsid w:val="00770CC3"/>
    <w:rsid w:val="00770E67"/>
    <w:rsid w:val="007718EF"/>
    <w:rsid w:val="00771CDA"/>
    <w:rsid w:val="00773007"/>
    <w:rsid w:val="00773AE3"/>
    <w:rsid w:val="007748F0"/>
    <w:rsid w:val="00774EA7"/>
    <w:rsid w:val="00774EFA"/>
    <w:rsid w:val="00775245"/>
    <w:rsid w:val="00775379"/>
    <w:rsid w:val="007754D8"/>
    <w:rsid w:val="00775916"/>
    <w:rsid w:val="00775B1E"/>
    <w:rsid w:val="00775EF6"/>
    <w:rsid w:val="007761BA"/>
    <w:rsid w:val="007769B2"/>
    <w:rsid w:val="00776A2E"/>
    <w:rsid w:val="00776B02"/>
    <w:rsid w:val="00776C57"/>
    <w:rsid w:val="00777821"/>
    <w:rsid w:val="00777FF9"/>
    <w:rsid w:val="0078054C"/>
    <w:rsid w:val="00780877"/>
    <w:rsid w:val="00780A27"/>
    <w:rsid w:val="00780F94"/>
    <w:rsid w:val="00781163"/>
    <w:rsid w:val="00781607"/>
    <w:rsid w:val="00781742"/>
    <w:rsid w:val="00781A1B"/>
    <w:rsid w:val="00781FD1"/>
    <w:rsid w:val="007823EC"/>
    <w:rsid w:val="007828FA"/>
    <w:rsid w:val="00782F73"/>
    <w:rsid w:val="00783267"/>
    <w:rsid w:val="007834C0"/>
    <w:rsid w:val="007836D3"/>
    <w:rsid w:val="00783C63"/>
    <w:rsid w:val="00783D71"/>
    <w:rsid w:val="00784785"/>
    <w:rsid w:val="00784886"/>
    <w:rsid w:val="007853B9"/>
    <w:rsid w:val="007857E4"/>
    <w:rsid w:val="00785991"/>
    <w:rsid w:val="00785B1B"/>
    <w:rsid w:val="00785B9A"/>
    <w:rsid w:val="007864C7"/>
    <w:rsid w:val="00786733"/>
    <w:rsid w:val="00787A9E"/>
    <w:rsid w:val="00787B17"/>
    <w:rsid w:val="00787BE8"/>
    <w:rsid w:val="00787C9C"/>
    <w:rsid w:val="00787D40"/>
    <w:rsid w:val="007903A9"/>
    <w:rsid w:val="0079069B"/>
    <w:rsid w:val="00790898"/>
    <w:rsid w:val="0079117A"/>
    <w:rsid w:val="007911A3"/>
    <w:rsid w:val="00791211"/>
    <w:rsid w:val="00791F3C"/>
    <w:rsid w:val="00792050"/>
    <w:rsid w:val="00792C16"/>
    <w:rsid w:val="0079302D"/>
    <w:rsid w:val="0079351A"/>
    <w:rsid w:val="00793701"/>
    <w:rsid w:val="007939C4"/>
    <w:rsid w:val="00793CC4"/>
    <w:rsid w:val="007948EA"/>
    <w:rsid w:val="0079512A"/>
    <w:rsid w:val="00795230"/>
    <w:rsid w:val="00795AC4"/>
    <w:rsid w:val="00795EBF"/>
    <w:rsid w:val="00796281"/>
    <w:rsid w:val="00796694"/>
    <w:rsid w:val="007967EE"/>
    <w:rsid w:val="00796FB2"/>
    <w:rsid w:val="007979E5"/>
    <w:rsid w:val="00797AC8"/>
    <w:rsid w:val="00797F2C"/>
    <w:rsid w:val="007A0282"/>
    <w:rsid w:val="007A08A0"/>
    <w:rsid w:val="007A0BEC"/>
    <w:rsid w:val="007A1180"/>
    <w:rsid w:val="007A1223"/>
    <w:rsid w:val="007A150E"/>
    <w:rsid w:val="007A155E"/>
    <w:rsid w:val="007A1762"/>
    <w:rsid w:val="007A17E3"/>
    <w:rsid w:val="007A1C6B"/>
    <w:rsid w:val="007A1C87"/>
    <w:rsid w:val="007A1E3E"/>
    <w:rsid w:val="007A1EBE"/>
    <w:rsid w:val="007A21A6"/>
    <w:rsid w:val="007A21BD"/>
    <w:rsid w:val="007A2229"/>
    <w:rsid w:val="007A299D"/>
    <w:rsid w:val="007A2C22"/>
    <w:rsid w:val="007A2DB9"/>
    <w:rsid w:val="007A2ECD"/>
    <w:rsid w:val="007A3BAD"/>
    <w:rsid w:val="007A3F94"/>
    <w:rsid w:val="007A4E66"/>
    <w:rsid w:val="007A4EF1"/>
    <w:rsid w:val="007A5215"/>
    <w:rsid w:val="007A596D"/>
    <w:rsid w:val="007A5BB3"/>
    <w:rsid w:val="007A6377"/>
    <w:rsid w:val="007A680B"/>
    <w:rsid w:val="007A684F"/>
    <w:rsid w:val="007A6B98"/>
    <w:rsid w:val="007A6D75"/>
    <w:rsid w:val="007A6EA1"/>
    <w:rsid w:val="007A7032"/>
    <w:rsid w:val="007A72D1"/>
    <w:rsid w:val="007A7AA8"/>
    <w:rsid w:val="007A7EED"/>
    <w:rsid w:val="007A7F89"/>
    <w:rsid w:val="007B040B"/>
    <w:rsid w:val="007B0486"/>
    <w:rsid w:val="007B07BF"/>
    <w:rsid w:val="007B0802"/>
    <w:rsid w:val="007B088D"/>
    <w:rsid w:val="007B0ABA"/>
    <w:rsid w:val="007B10AD"/>
    <w:rsid w:val="007B20EF"/>
    <w:rsid w:val="007B22B4"/>
    <w:rsid w:val="007B22C3"/>
    <w:rsid w:val="007B2507"/>
    <w:rsid w:val="007B2683"/>
    <w:rsid w:val="007B294A"/>
    <w:rsid w:val="007B2CFB"/>
    <w:rsid w:val="007B3191"/>
    <w:rsid w:val="007B42D1"/>
    <w:rsid w:val="007B434F"/>
    <w:rsid w:val="007B4AC7"/>
    <w:rsid w:val="007B50A7"/>
    <w:rsid w:val="007B54E5"/>
    <w:rsid w:val="007B5883"/>
    <w:rsid w:val="007B59EF"/>
    <w:rsid w:val="007B6192"/>
    <w:rsid w:val="007B6CE9"/>
    <w:rsid w:val="007B72BC"/>
    <w:rsid w:val="007B7ADD"/>
    <w:rsid w:val="007B7C64"/>
    <w:rsid w:val="007C00CD"/>
    <w:rsid w:val="007C0761"/>
    <w:rsid w:val="007C0DAF"/>
    <w:rsid w:val="007C126F"/>
    <w:rsid w:val="007C16B0"/>
    <w:rsid w:val="007C27B8"/>
    <w:rsid w:val="007C2BD9"/>
    <w:rsid w:val="007C2DB8"/>
    <w:rsid w:val="007C2FFE"/>
    <w:rsid w:val="007C31DA"/>
    <w:rsid w:val="007C346B"/>
    <w:rsid w:val="007C4787"/>
    <w:rsid w:val="007C47E1"/>
    <w:rsid w:val="007C4941"/>
    <w:rsid w:val="007C51AB"/>
    <w:rsid w:val="007C53F9"/>
    <w:rsid w:val="007C5F25"/>
    <w:rsid w:val="007C60AA"/>
    <w:rsid w:val="007C6193"/>
    <w:rsid w:val="007C65C0"/>
    <w:rsid w:val="007C7A3D"/>
    <w:rsid w:val="007C7B22"/>
    <w:rsid w:val="007C7DD6"/>
    <w:rsid w:val="007D017A"/>
    <w:rsid w:val="007D04E1"/>
    <w:rsid w:val="007D0B30"/>
    <w:rsid w:val="007D0DF0"/>
    <w:rsid w:val="007D13C6"/>
    <w:rsid w:val="007D1C53"/>
    <w:rsid w:val="007D2029"/>
    <w:rsid w:val="007D202D"/>
    <w:rsid w:val="007D206A"/>
    <w:rsid w:val="007D212B"/>
    <w:rsid w:val="007D2521"/>
    <w:rsid w:val="007D2867"/>
    <w:rsid w:val="007D296A"/>
    <w:rsid w:val="007D38E1"/>
    <w:rsid w:val="007D43ED"/>
    <w:rsid w:val="007D4730"/>
    <w:rsid w:val="007D4A3D"/>
    <w:rsid w:val="007D52C7"/>
    <w:rsid w:val="007D53CC"/>
    <w:rsid w:val="007D613A"/>
    <w:rsid w:val="007D6A00"/>
    <w:rsid w:val="007D6CCA"/>
    <w:rsid w:val="007D6ED9"/>
    <w:rsid w:val="007D72A1"/>
    <w:rsid w:val="007D7F0E"/>
    <w:rsid w:val="007E0018"/>
    <w:rsid w:val="007E00B3"/>
    <w:rsid w:val="007E09D7"/>
    <w:rsid w:val="007E10DD"/>
    <w:rsid w:val="007E124B"/>
    <w:rsid w:val="007E2165"/>
    <w:rsid w:val="007E2AF7"/>
    <w:rsid w:val="007E2B1E"/>
    <w:rsid w:val="007E366B"/>
    <w:rsid w:val="007E391D"/>
    <w:rsid w:val="007E3A59"/>
    <w:rsid w:val="007E3D91"/>
    <w:rsid w:val="007E3DD7"/>
    <w:rsid w:val="007E3EE2"/>
    <w:rsid w:val="007E418F"/>
    <w:rsid w:val="007E46BE"/>
    <w:rsid w:val="007E4809"/>
    <w:rsid w:val="007E49AA"/>
    <w:rsid w:val="007E4A78"/>
    <w:rsid w:val="007E4C6B"/>
    <w:rsid w:val="007E5533"/>
    <w:rsid w:val="007E5997"/>
    <w:rsid w:val="007E5B6B"/>
    <w:rsid w:val="007E62B3"/>
    <w:rsid w:val="007E6A5D"/>
    <w:rsid w:val="007E7065"/>
    <w:rsid w:val="007E7230"/>
    <w:rsid w:val="007E7672"/>
    <w:rsid w:val="007F046C"/>
    <w:rsid w:val="007F04D6"/>
    <w:rsid w:val="007F06AA"/>
    <w:rsid w:val="007F06B7"/>
    <w:rsid w:val="007F08AB"/>
    <w:rsid w:val="007F0B0D"/>
    <w:rsid w:val="007F0E5A"/>
    <w:rsid w:val="007F0E77"/>
    <w:rsid w:val="007F186F"/>
    <w:rsid w:val="007F1C37"/>
    <w:rsid w:val="007F1D1E"/>
    <w:rsid w:val="007F28C4"/>
    <w:rsid w:val="007F2D9A"/>
    <w:rsid w:val="007F32ED"/>
    <w:rsid w:val="007F367E"/>
    <w:rsid w:val="007F3975"/>
    <w:rsid w:val="007F48B6"/>
    <w:rsid w:val="007F48BE"/>
    <w:rsid w:val="007F4EA6"/>
    <w:rsid w:val="007F5141"/>
    <w:rsid w:val="007F5B8D"/>
    <w:rsid w:val="007F6041"/>
    <w:rsid w:val="007F617F"/>
    <w:rsid w:val="007F65BD"/>
    <w:rsid w:val="007F65C1"/>
    <w:rsid w:val="007F6F09"/>
    <w:rsid w:val="007F6F76"/>
    <w:rsid w:val="007F6FB6"/>
    <w:rsid w:val="007F7453"/>
    <w:rsid w:val="007F7515"/>
    <w:rsid w:val="007F7F0E"/>
    <w:rsid w:val="00800178"/>
    <w:rsid w:val="008003C8"/>
    <w:rsid w:val="00800977"/>
    <w:rsid w:val="008009B5"/>
    <w:rsid w:val="00800FE1"/>
    <w:rsid w:val="008013A7"/>
    <w:rsid w:val="00801775"/>
    <w:rsid w:val="00801931"/>
    <w:rsid w:val="00801A07"/>
    <w:rsid w:val="00801B65"/>
    <w:rsid w:val="00801B6E"/>
    <w:rsid w:val="00802098"/>
    <w:rsid w:val="00802A3D"/>
    <w:rsid w:val="00802DFC"/>
    <w:rsid w:val="008030FC"/>
    <w:rsid w:val="00803254"/>
    <w:rsid w:val="00803E32"/>
    <w:rsid w:val="0080405F"/>
    <w:rsid w:val="008040C2"/>
    <w:rsid w:val="0080460F"/>
    <w:rsid w:val="00804CC9"/>
    <w:rsid w:val="00804F47"/>
    <w:rsid w:val="0080511D"/>
    <w:rsid w:val="008051DA"/>
    <w:rsid w:val="00805346"/>
    <w:rsid w:val="00805452"/>
    <w:rsid w:val="008054EC"/>
    <w:rsid w:val="008057D1"/>
    <w:rsid w:val="00805A2A"/>
    <w:rsid w:val="00806189"/>
    <w:rsid w:val="008070F2"/>
    <w:rsid w:val="0080789F"/>
    <w:rsid w:val="00807C26"/>
    <w:rsid w:val="0081004D"/>
    <w:rsid w:val="00810CFC"/>
    <w:rsid w:val="008111DE"/>
    <w:rsid w:val="0081145C"/>
    <w:rsid w:val="00811478"/>
    <w:rsid w:val="0081159E"/>
    <w:rsid w:val="00811B0E"/>
    <w:rsid w:val="00811B7E"/>
    <w:rsid w:val="00811C6E"/>
    <w:rsid w:val="008127AB"/>
    <w:rsid w:val="008129F5"/>
    <w:rsid w:val="00812EAD"/>
    <w:rsid w:val="00813074"/>
    <w:rsid w:val="008133CA"/>
    <w:rsid w:val="00813452"/>
    <w:rsid w:val="0081375F"/>
    <w:rsid w:val="00813871"/>
    <w:rsid w:val="00813B07"/>
    <w:rsid w:val="00813BD2"/>
    <w:rsid w:val="00813CCD"/>
    <w:rsid w:val="00814992"/>
    <w:rsid w:val="00814D42"/>
    <w:rsid w:val="00814E0D"/>
    <w:rsid w:val="00814FBA"/>
    <w:rsid w:val="00815058"/>
    <w:rsid w:val="008150AC"/>
    <w:rsid w:val="008150D4"/>
    <w:rsid w:val="008152BE"/>
    <w:rsid w:val="008153B6"/>
    <w:rsid w:val="00815569"/>
    <w:rsid w:val="00815807"/>
    <w:rsid w:val="00815E28"/>
    <w:rsid w:val="008167FB"/>
    <w:rsid w:val="00816EC1"/>
    <w:rsid w:val="00817202"/>
    <w:rsid w:val="00817C76"/>
    <w:rsid w:val="008208B1"/>
    <w:rsid w:val="00820A30"/>
    <w:rsid w:val="00821AA3"/>
    <w:rsid w:val="00822FEE"/>
    <w:rsid w:val="008233A6"/>
    <w:rsid w:val="00823528"/>
    <w:rsid w:val="008239DC"/>
    <w:rsid w:val="00823ADD"/>
    <w:rsid w:val="0082417E"/>
    <w:rsid w:val="00824189"/>
    <w:rsid w:val="00824A55"/>
    <w:rsid w:val="00825147"/>
    <w:rsid w:val="00825792"/>
    <w:rsid w:val="00825933"/>
    <w:rsid w:val="0082623B"/>
    <w:rsid w:val="008269F5"/>
    <w:rsid w:val="008271BE"/>
    <w:rsid w:val="008271CE"/>
    <w:rsid w:val="008274CA"/>
    <w:rsid w:val="0082752F"/>
    <w:rsid w:val="00827AD8"/>
    <w:rsid w:val="00827D16"/>
    <w:rsid w:val="008302BF"/>
    <w:rsid w:val="00830456"/>
    <w:rsid w:val="00830BCB"/>
    <w:rsid w:val="00830E16"/>
    <w:rsid w:val="00830EFD"/>
    <w:rsid w:val="0083180A"/>
    <w:rsid w:val="00831BDC"/>
    <w:rsid w:val="00831D43"/>
    <w:rsid w:val="008324C4"/>
    <w:rsid w:val="00832B1F"/>
    <w:rsid w:val="00832B68"/>
    <w:rsid w:val="00832FC0"/>
    <w:rsid w:val="00833177"/>
    <w:rsid w:val="00833687"/>
    <w:rsid w:val="00833D5E"/>
    <w:rsid w:val="00834284"/>
    <w:rsid w:val="00834492"/>
    <w:rsid w:val="008345CB"/>
    <w:rsid w:val="008347A8"/>
    <w:rsid w:val="00834A73"/>
    <w:rsid w:val="00834F34"/>
    <w:rsid w:val="00835213"/>
    <w:rsid w:val="00835853"/>
    <w:rsid w:val="0083590D"/>
    <w:rsid w:val="00836351"/>
    <w:rsid w:val="00836471"/>
    <w:rsid w:val="00836B0C"/>
    <w:rsid w:val="00836FFE"/>
    <w:rsid w:val="00837154"/>
    <w:rsid w:val="0083748C"/>
    <w:rsid w:val="00837893"/>
    <w:rsid w:val="00837BAB"/>
    <w:rsid w:val="008400E1"/>
    <w:rsid w:val="0084012A"/>
    <w:rsid w:val="0084075D"/>
    <w:rsid w:val="00840ADB"/>
    <w:rsid w:val="00840D1A"/>
    <w:rsid w:val="00840E6A"/>
    <w:rsid w:val="008414D2"/>
    <w:rsid w:val="00841A4F"/>
    <w:rsid w:val="00841A70"/>
    <w:rsid w:val="008420B9"/>
    <w:rsid w:val="008425EA"/>
    <w:rsid w:val="00842791"/>
    <w:rsid w:val="008427DC"/>
    <w:rsid w:val="00842C57"/>
    <w:rsid w:val="00842D70"/>
    <w:rsid w:val="00842E7C"/>
    <w:rsid w:val="00842E9D"/>
    <w:rsid w:val="00843780"/>
    <w:rsid w:val="00843A6B"/>
    <w:rsid w:val="00843BBD"/>
    <w:rsid w:val="00843C77"/>
    <w:rsid w:val="00843E9B"/>
    <w:rsid w:val="008443BB"/>
    <w:rsid w:val="008443D2"/>
    <w:rsid w:val="00846071"/>
    <w:rsid w:val="008461D3"/>
    <w:rsid w:val="00846B54"/>
    <w:rsid w:val="00846CC0"/>
    <w:rsid w:val="00846D03"/>
    <w:rsid w:val="00846D36"/>
    <w:rsid w:val="00846F55"/>
    <w:rsid w:val="0084725C"/>
    <w:rsid w:val="008472FA"/>
    <w:rsid w:val="008475C4"/>
    <w:rsid w:val="00847E3C"/>
    <w:rsid w:val="00847FC8"/>
    <w:rsid w:val="00850438"/>
    <w:rsid w:val="00850EF3"/>
    <w:rsid w:val="00850EFC"/>
    <w:rsid w:val="008512A4"/>
    <w:rsid w:val="00851376"/>
    <w:rsid w:val="00851A27"/>
    <w:rsid w:val="00851C49"/>
    <w:rsid w:val="00851D17"/>
    <w:rsid w:val="0085211F"/>
    <w:rsid w:val="00852255"/>
    <w:rsid w:val="0085243C"/>
    <w:rsid w:val="00852934"/>
    <w:rsid w:val="00852C80"/>
    <w:rsid w:val="0085324C"/>
    <w:rsid w:val="0085359E"/>
    <w:rsid w:val="0085382A"/>
    <w:rsid w:val="00853A03"/>
    <w:rsid w:val="00853CFD"/>
    <w:rsid w:val="00853EFD"/>
    <w:rsid w:val="008545C5"/>
    <w:rsid w:val="008545EC"/>
    <w:rsid w:val="00854836"/>
    <w:rsid w:val="008548FB"/>
    <w:rsid w:val="00854A0B"/>
    <w:rsid w:val="0085520D"/>
    <w:rsid w:val="00855690"/>
    <w:rsid w:val="008562BB"/>
    <w:rsid w:val="008564FF"/>
    <w:rsid w:val="00856971"/>
    <w:rsid w:val="008569BE"/>
    <w:rsid w:val="008569FE"/>
    <w:rsid w:val="00857685"/>
    <w:rsid w:val="008579EC"/>
    <w:rsid w:val="00857A69"/>
    <w:rsid w:val="00857E79"/>
    <w:rsid w:val="008602BA"/>
    <w:rsid w:val="008606B4"/>
    <w:rsid w:val="008609B5"/>
    <w:rsid w:val="00861362"/>
    <w:rsid w:val="00861892"/>
    <w:rsid w:val="0086254D"/>
    <w:rsid w:val="008628B7"/>
    <w:rsid w:val="0086358A"/>
    <w:rsid w:val="00863AC5"/>
    <w:rsid w:val="00863BDE"/>
    <w:rsid w:val="00863D37"/>
    <w:rsid w:val="0086492A"/>
    <w:rsid w:val="00865668"/>
    <w:rsid w:val="00866051"/>
    <w:rsid w:val="00866477"/>
    <w:rsid w:val="008666A3"/>
    <w:rsid w:val="008667AA"/>
    <w:rsid w:val="00866B1B"/>
    <w:rsid w:val="00866F0E"/>
    <w:rsid w:val="0086707E"/>
    <w:rsid w:val="008670B0"/>
    <w:rsid w:val="00867E3F"/>
    <w:rsid w:val="008706A2"/>
    <w:rsid w:val="0087098F"/>
    <w:rsid w:val="00870FAC"/>
    <w:rsid w:val="00871681"/>
    <w:rsid w:val="0087284A"/>
    <w:rsid w:val="00872DFC"/>
    <w:rsid w:val="00872EFC"/>
    <w:rsid w:val="00872F9E"/>
    <w:rsid w:val="00873B29"/>
    <w:rsid w:val="00874084"/>
    <w:rsid w:val="0087421D"/>
    <w:rsid w:val="00874318"/>
    <w:rsid w:val="008743C7"/>
    <w:rsid w:val="0087446F"/>
    <w:rsid w:val="00874AFC"/>
    <w:rsid w:val="00874B23"/>
    <w:rsid w:val="00874CF4"/>
    <w:rsid w:val="00875176"/>
    <w:rsid w:val="00876106"/>
    <w:rsid w:val="008764F7"/>
    <w:rsid w:val="00876657"/>
    <w:rsid w:val="008766DF"/>
    <w:rsid w:val="00876D65"/>
    <w:rsid w:val="00876F53"/>
    <w:rsid w:val="008775F5"/>
    <w:rsid w:val="00877A52"/>
    <w:rsid w:val="00877E87"/>
    <w:rsid w:val="00877FAB"/>
    <w:rsid w:val="00880293"/>
    <w:rsid w:val="00880598"/>
    <w:rsid w:val="0088075E"/>
    <w:rsid w:val="00880BED"/>
    <w:rsid w:val="0088138E"/>
    <w:rsid w:val="008819A5"/>
    <w:rsid w:val="0088219D"/>
    <w:rsid w:val="0088224E"/>
    <w:rsid w:val="008825CB"/>
    <w:rsid w:val="00882EC3"/>
    <w:rsid w:val="0088325A"/>
    <w:rsid w:val="008832FC"/>
    <w:rsid w:val="008833F3"/>
    <w:rsid w:val="00883E54"/>
    <w:rsid w:val="008846B2"/>
    <w:rsid w:val="00884991"/>
    <w:rsid w:val="00884D63"/>
    <w:rsid w:val="00884EE3"/>
    <w:rsid w:val="008855BB"/>
    <w:rsid w:val="008858D6"/>
    <w:rsid w:val="00885C1C"/>
    <w:rsid w:val="00885F17"/>
    <w:rsid w:val="0088647B"/>
    <w:rsid w:val="00886B24"/>
    <w:rsid w:val="00886E6F"/>
    <w:rsid w:val="00887188"/>
    <w:rsid w:val="008873AC"/>
    <w:rsid w:val="00887DF4"/>
    <w:rsid w:val="00887F4A"/>
    <w:rsid w:val="008906D4"/>
    <w:rsid w:val="00890E19"/>
    <w:rsid w:val="00890EC0"/>
    <w:rsid w:val="008910D9"/>
    <w:rsid w:val="008912DE"/>
    <w:rsid w:val="008917EE"/>
    <w:rsid w:val="00892938"/>
    <w:rsid w:val="008936BE"/>
    <w:rsid w:val="00893914"/>
    <w:rsid w:val="00893FF7"/>
    <w:rsid w:val="0089466C"/>
    <w:rsid w:val="00894782"/>
    <w:rsid w:val="00894AE4"/>
    <w:rsid w:val="00894B49"/>
    <w:rsid w:val="00894DE2"/>
    <w:rsid w:val="0089583E"/>
    <w:rsid w:val="00895BF0"/>
    <w:rsid w:val="00895CEF"/>
    <w:rsid w:val="00896046"/>
    <w:rsid w:val="00896686"/>
    <w:rsid w:val="00896A6E"/>
    <w:rsid w:val="00896D66"/>
    <w:rsid w:val="00896F1C"/>
    <w:rsid w:val="0089741A"/>
    <w:rsid w:val="008977F1"/>
    <w:rsid w:val="00897B6C"/>
    <w:rsid w:val="008A0032"/>
    <w:rsid w:val="008A0035"/>
    <w:rsid w:val="008A0420"/>
    <w:rsid w:val="008A05AE"/>
    <w:rsid w:val="008A07D4"/>
    <w:rsid w:val="008A08F3"/>
    <w:rsid w:val="008A1D91"/>
    <w:rsid w:val="008A2C0D"/>
    <w:rsid w:val="008A2CC4"/>
    <w:rsid w:val="008A3741"/>
    <w:rsid w:val="008A3747"/>
    <w:rsid w:val="008A3A6F"/>
    <w:rsid w:val="008A3D3C"/>
    <w:rsid w:val="008A3E1F"/>
    <w:rsid w:val="008A3ED7"/>
    <w:rsid w:val="008A4A46"/>
    <w:rsid w:val="008A5373"/>
    <w:rsid w:val="008A5CCF"/>
    <w:rsid w:val="008A66EB"/>
    <w:rsid w:val="008A6AF7"/>
    <w:rsid w:val="008A6D91"/>
    <w:rsid w:val="008A7354"/>
    <w:rsid w:val="008A7C16"/>
    <w:rsid w:val="008B00D2"/>
    <w:rsid w:val="008B02F2"/>
    <w:rsid w:val="008B0311"/>
    <w:rsid w:val="008B04AF"/>
    <w:rsid w:val="008B123B"/>
    <w:rsid w:val="008B14A1"/>
    <w:rsid w:val="008B167E"/>
    <w:rsid w:val="008B22BC"/>
    <w:rsid w:val="008B235C"/>
    <w:rsid w:val="008B2EB3"/>
    <w:rsid w:val="008B3950"/>
    <w:rsid w:val="008B3FEE"/>
    <w:rsid w:val="008B4ACD"/>
    <w:rsid w:val="008B531E"/>
    <w:rsid w:val="008B5657"/>
    <w:rsid w:val="008B6B74"/>
    <w:rsid w:val="008B6F76"/>
    <w:rsid w:val="008B6FC1"/>
    <w:rsid w:val="008B7181"/>
    <w:rsid w:val="008B7F0E"/>
    <w:rsid w:val="008C0203"/>
    <w:rsid w:val="008C0597"/>
    <w:rsid w:val="008C072A"/>
    <w:rsid w:val="008C07A2"/>
    <w:rsid w:val="008C0AF9"/>
    <w:rsid w:val="008C174E"/>
    <w:rsid w:val="008C23CC"/>
    <w:rsid w:val="008C2882"/>
    <w:rsid w:val="008C2932"/>
    <w:rsid w:val="008C2C11"/>
    <w:rsid w:val="008C2C4D"/>
    <w:rsid w:val="008C3162"/>
    <w:rsid w:val="008C371F"/>
    <w:rsid w:val="008C3DA3"/>
    <w:rsid w:val="008C4884"/>
    <w:rsid w:val="008C4A9E"/>
    <w:rsid w:val="008C4AC9"/>
    <w:rsid w:val="008C5CB0"/>
    <w:rsid w:val="008C6117"/>
    <w:rsid w:val="008C656B"/>
    <w:rsid w:val="008C6F87"/>
    <w:rsid w:val="008C72A5"/>
    <w:rsid w:val="008D03FC"/>
    <w:rsid w:val="008D0651"/>
    <w:rsid w:val="008D15FB"/>
    <w:rsid w:val="008D179C"/>
    <w:rsid w:val="008D1927"/>
    <w:rsid w:val="008D1C0B"/>
    <w:rsid w:val="008D1F31"/>
    <w:rsid w:val="008D1F42"/>
    <w:rsid w:val="008D2B1C"/>
    <w:rsid w:val="008D2D74"/>
    <w:rsid w:val="008D3871"/>
    <w:rsid w:val="008D4217"/>
    <w:rsid w:val="008D445F"/>
    <w:rsid w:val="008D4562"/>
    <w:rsid w:val="008D4DCC"/>
    <w:rsid w:val="008D4FBB"/>
    <w:rsid w:val="008D5068"/>
    <w:rsid w:val="008D515A"/>
    <w:rsid w:val="008D535B"/>
    <w:rsid w:val="008D59DD"/>
    <w:rsid w:val="008D60B2"/>
    <w:rsid w:val="008D66B4"/>
    <w:rsid w:val="008D6916"/>
    <w:rsid w:val="008D6B9C"/>
    <w:rsid w:val="008D6E4C"/>
    <w:rsid w:val="008D71D6"/>
    <w:rsid w:val="008D7828"/>
    <w:rsid w:val="008E0794"/>
    <w:rsid w:val="008E09EE"/>
    <w:rsid w:val="008E0B53"/>
    <w:rsid w:val="008E0EF5"/>
    <w:rsid w:val="008E234F"/>
    <w:rsid w:val="008E2C0F"/>
    <w:rsid w:val="008E3137"/>
    <w:rsid w:val="008E33F7"/>
    <w:rsid w:val="008E476C"/>
    <w:rsid w:val="008E5B3C"/>
    <w:rsid w:val="008E5D67"/>
    <w:rsid w:val="008E5DC4"/>
    <w:rsid w:val="008E6888"/>
    <w:rsid w:val="008E68DA"/>
    <w:rsid w:val="008E69E4"/>
    <w:rsid w:val="008E6A12"/>
    <w:rsid w:val="008E6A25"/>
    <w:rsid w:val="008E731B"/>
    <w:rsid w:val="008E7C04"/>
    <w:rsid w:val="008F085F"/>
    <w:rsid w:val="008F091A"/>
    <w:rsid w:val="008F11B8"/>
    <w:rsid w:val="008F16C0"/>
    <w:rsid w:val="008F1835"/>
    <w:rsid w:val="008F1A49"/>
    <w:rsid w:val="008F1EB6"/>
    <w:rsid w:val="008F2186"/>
    <w:rsid w:val="008F230A"/>
    <w:rsid w:val="008F2CD1"/>
    <w:rsid w:val="008F323C"/>
    <w:rsid w:val="008F331C"/>
    <w:rsid w:val="008F33ED"/>
    <w:rsid w:val="008F38FB"/>
    <w:rsid w:val="008F3B08"/>
    <w:rsid w:val="008F4232"/>
    <w:rsid w:val="008F4718"/>
    <w:rsid w:val="008F475E"/>
    <w:rsid w:val="008F497D"/>
    <w:rsid w:val="008F4C95"/>
    <w:rsid w:val="008F5034"/>
    <w:rsid w:val="008F5BF5"/>
    <w:rsid w:val="008F621F"/>
    <w:rsid w:val="008F62AC"/>
    <w:rsid w:val="008F63D4"/>
    <w:rsid w:val="008F759E"/>
    <w:rsid w:val="008F7DFE"/>
    <w:rsid w:val="0090088D"/>
    <w:rsid w:val="00901286"/>
    <w:rsid w:val="00901434"/>
    <w:rsid w:val="0090242D"/>
    <w:rsid w:val="00902C67"/>
    <w:rsid w:val="009032F8"/>
    <w:rsid w:val="009033A0"/>
    <w:rsid w:val="009036D1"/>
    <w:rsid w:val="00903912"/>
    <w:rsid w:val="00903E41"/>
    <w:rsid w:val="00903EDA"/>
    <w:rsid w:val="00904436"/>
    <w:rsid w:val="00904557"/>
    <w:rsid w:val="00905079"/>
    <w:rsid w:val="00905224"/>
    <w:rsid w:val="00905248"/>
    <w:rsid w:val="009054CD"/>
    <w:rsid w:val="0090577A"/>
    <w:rsid w:val="00905A08"/>
    <w:rsid w:val="00905A67"/>
    <w:rsid w:val="00905C40"/>
    <w:rsid w:val="0090624D"/>
    <w:rsid w:val="009069F3"/>
    <w:rsid w:val="00907095"/>
    <w:rsid w:val="0090725C"/>
    <w:rsid w:val="00907F63"/>
    <w:rsid w:val="00910771"/>
    <w:rsid w:val="00910812"/>
    <w:rsid w:val="00910EEE"/>
    <w:rsid w:val="00911C6A"/>
    <w:rsid w:val="00911D79"/>
    <w:rsid w:val="009122FA"/>
    <w:rsid w:val="0091262D"/>
    <w:rsid w:val="009129CF"/>
    <w:rsid w:val="009132E4"/>
    <w:rsid w:val="00913393"/>
    <w:rsid w:val="0091342A"/>
    <w:rsid w:val="009141E2"/>
    <w:rsid w:val="00914B9A"/>
    <w:rsid w:val="00914D99"/>
    <w:rsid w:val="00915232"/>
    <w:rsid w:val="009153A3"/>
    <w:rsid w:val="00915492"/>
    <w:rsid w:val="00915BF2"/>
    <w:rsid w:val="009168C1"/>
    <w:rsid w:val="00917140"/>
    <w:rsid w:val="0091774C"/>
    <w:rsid w:val="00917EA8"/>
    <w:rsid w:val="0092156F"/>
    <w:rsid w:val="00921ADA"/>
    <w:rsid w:val="00921E28"/>
    <w:rsid w:val="00922CF9"/>
    <w:rsid w:val="00923137"/>
    <w:rsid w:val="0092330C"/>
    <w:rsid w:val="0092351C"/>
    <w:rsid w:val="009241E6"/>
    <w:rsid w:val="00924DDD"/>
    <w:rsid w:val="00925208"/>
    <w:rsid w:val="00925499"/>
    <w:rsid w:val="00925B67"/>
    <w:rsid w:val="00926142"/>
    <w:rsid w:val="00926695"/>
    <w:rsid w:val="009269E7"/>
    <w:rsid w:val="009269E9"/>
    <w:rsid w:val="00926CD2"/>
    <w:rsid w:val="009304EE"/>
    <w:rsid w:val="00930540"/>
    <w:rsid w:val="009306B3"/>
    <w:rsid w:val="009313A5"/>
    <w:rsid w:val="0093233F"/>
    <w:rsid w:val="00932354"/>
    <w:rsid w:val="00932692"/>
    <w:rsid w:val="00932C40"/>
    <w:rsid w:val="00932E1F"/>
    <w:rsid w:val="0093399E"/>
    <w:rsid w:val="00933B55"/>
    <w:rsid w:val="00933C47"/>
    <w:rsid w:val="00934AD2"/>
    <w:rsid w:val="009359A9"/>
    <w:rsid w:val="00935CF4"/>
    <w:rsid w:val="009365DF"/>
    <w:rsid w:val="00936ACD"/>
    <w:rsid w:val="00936C92"/>
    <w:rsid w:val="009373A9"/>
    <w:rsid w:val="009373BF"/>
    <w:rsid w:val="009374A1"/>
    <w:rsid w:val="00940DC6"/>
    <w:rsid w:val="00940F26"/>
    <w:rsid w:val="00941769"/>
    <w:rsid w:val="009417A5"/>
    <w:rsid w:val="00941A64"/>
    <w:rsid w:val="00942294"/>
    <w:rsid w:val="00942368"/>
    <w:rsid w:val="00942462"/>
    <w:rsid w:val="00942678"/>
    <w:rsid w:val="00942BE4"/>
    <w:rsid w:val="00943D22"/>
    <w:rsid w:val="00943E5F"/>
    <w:rsid w:val="009446B3"/>
    <w:rsid w:val="00945260"/>
    <w:rsid w:val="009457FA"/>
    <w:rsid w:val="00945DFC"/>
    <w:rsid w:val="009468CF"/>
    <w:rsid w:val="00946EA1"/>
    <w:rsid w:val="0094748D"/>
    <w:rsid w:val="00947553"/>
    <w:rsid w:val="00947956"/>
    <w:rsid w:val="00947A6C"/>
    <w:rsid w:val="00950983"/>
    <w:rsid w:val="009521BE"/>
    <w:rsid w:val="00952515"/>
    <w:rsid w:val="009528F6"/>
    <w:rsid w:val="00952F43"/>
    <w:rsid w:val="00953581"/>
    <w:rsid w:val="009537B2"/>
    <w:rsid w:val="009539C1"/>
    <w:rsid w:val="00953B1D"/>
    <w:rsid w:val="0095402F"/>
    <w:rsid w:val="0095423D"/>
    <w:rsid w:val="00954479"/>
    <w:rsid w:val="0095488A"/>
    <w:rsid w:val="00954F8F"/>
    <w:rsid w:val="009554BE"/>
    <w:rsid w:val="00955737"/>
    <w:rsid w:val="0095574F"/>
    <w:rsid w:val="00955BDC"/>
    <w:rsid w:val="00955D96"/>
    <w:rsid w:val="00955DA2"/>
    <w:rsid w:val="0095641B"/>
    <w:rsid w:val="009566E1"/>
    <w:rsid w:val="00956F8C"/>
    <w:rsid w:val="00957DB5"/>
    <w:rsid w:val="00960793"/>
    <w:rsid w:val="0096092A"/>
    <w:rsid w:val="00960B81"/>
    <w:rsid w:val="00961932"/>
    <w:rsid w:val="00962290"/>
    <w:rsid w:val="00962B13"/>
    <w:rsid w:val="00962D1A"/>
    <w:rsid w:val="00962DBD"/>
    <w:rsid w:val="00963504"/>
    <w:rsid w:val="009637D7"/>
    <w:rsid w:val="009637FE"/>
    <w:rsid w:val="00963816"/>
    <w:rsid w:val="00963901"/>
    <w:rsid w:val="009639ED"/>
    <w:rsid w:val="00963DE0"/>
    <w:rsid w:val="009641D3"/>
    <w:rsid w:val="009641F5"/>
    <w:rsid w:val="009643AD"/>
    <w:rsid w:val="009644CB"/>
    <w:rsid w:val="0096459C"/>
    <w:rsid w:val="009652A9"/>
    <w:rsid w:val="009652E7"/>
    <w:rsid w:val="009656FE"/>
    <w:rsid w:val="00965ED2"/>
    <w:rsid w:val="00966274"/>
    <w:rsid w:val="009664E0"/>
    <w:rsid w:val="00966DFB"/>
    <w:rsid w:val="0096741E"/>
    <w:rsid w:val="009679F5"/>
    <w:rsid w:val="00967A9B"/>
    <w:rsid w:val="00967AB3"/>
    <w:rsid w:val="00967DC5"/>
    <w:rsid w:val="00967DF5"/>
    <w:rsid w:val="00967F79"/>
    <w:rsid w:val="00970325"/>
    <w:rsid w:val="0097090E"/>
    <w:rsid w:val="00970B70"/>
    <w:rsid w:val="00971C35"/>
    <w:rsid w:val="0097215D"/>
    <w:rsid w:val="00972330"/>
    <w:rsid w:val="009723E6"/>
    <w:rsid w:val="00972E9E"/>
    <w:rsid w:val="00972F11"/>
    <w:rsid w:val="009730A5"/>
    <w:rsid w:val="00973834"/>
    <w:rsid w:val="0097385B"/>
    <w:rsid w:val="009739A7"/>
    <w:rsid w:val="00973F23"/>
    <w:rsid w:val="00974EA2"/>
    <w:rsid w:val="00974F4F"/>
    <w:rsid w:val="009758ED"/>
    <w:rsid w:val="00975A7E"/>
    <w:rsid w:val="00976636"/>
    <w:rsid w:val="0097699A"/>
    <w:rsid w:val="009769CD"/>
    <w:rsid w:val="00976B40"/>
    <w:rsid w:val="00976D73"/>
    <w:rsid w:val="009770F7"/>
    <w:rsid w:val="009801B0"/>
    <w:rsid w:val="009805F0"/>
    <w:rsid w:val="00980BC7"/>
    <w:rsid w:val="00980BCB"/>
    <w:rsid w:val="00981166"/>
    <w:rsid w:val="00981F52"/>
    <w:rsid w:val="0098294D"/>
    <w:rsid w:val="009835B6"/>
    <w:rsid w:val="00983DE6"/>
    <w:rsid w:val="00983E0B"/>
    <w:rsid w:val="009843E2"/>
    <w:rsid w:val="009844BF"/>
    <w:rsid w:val="009846EA"/>
    <w:rsid w:val="0098516C"/>
    <w:rsid w:val="0098558E"/>
    <w:rsid w:val="00985626"/>
    <w:rsid w:val="0098600D"/>
    <w:rsid w:val="00986299"/>
    <w:rsid w:val="00987121"/>
    <w:rsid w:val="0099014A"/>
    <w:rsid w:val="0099014E"/>
    <w:rsid w:val="0099015F"/>
    <w:rsid w:val="00990367"/>
    <w:rsid w:val="00990CE4"/>
    <w:rsid w:val="009910E8"/>
    <w:rsid w:val="009914E2"/>
    <w:rsid w:val="00991613"/>
    <w:rsid w:val="00992E7F"/>
    <w:rsid w:val="009930FF"/>
    <w:rsid w:val="009931A7"/>
    <w:rsid w:val="009931E6"/>
    <w:rsid w:val="0099322B"/>
    <w:rsid w:val="00993495"/>
    <w:rsid w:val="009938A2"/>
    <w:rsid w:val="009940E4"/>
    <w:rsid w:val="00994270"/>
    <w:rsid w:val="009943F5"/>
    <w:rsid w:val="00994440"/>
    <w:rsid w:val="00994640"/>
    <w:rsid w:val="009959F1"/>
    <w:rsid w:val="009962A1"/>
    <w:rsid w:val="0099631C"/>
    <w:rsid w:val="00996367"/>
    <w:rsid w:val="00996A06"/>
    <w:rsid w:val="00996C59"/>
    <w:rsid w:val="00996E64"/>
    <w:rsid w:val="00997589"/>
    <w:rsid w:val="00997A56"/>
    <w:rsid w:val="00997F82"/>
    <w:rsid w:val="009A040A"/>
    <w:rsid w:val="009A041F"/>
    <w:rsid w:val="009A1037"/>
    <w:rsid w:val="009A18DE"/>
    <w:rsid w:val="009A1A00"/>
    <w:rsid w:val="009A23D7"/>
    <w:rsid w:val="009A24B6"/>
    <w:rsid w:val="009A2574"/>
    <w:rsid w:val="009A2B81"/>
    <w:rsid w:val="009A2DDC"/>
    <w:rsid w:val="009A2F06"/>
    <w:rsid w:val="009A30EA"/>
    <w:rsid w:val="009A3268"/>
    <w:rsid w:val="009A3AFA"/>
    <w:rsid w:val="009A3E09"/>
    <w:rsid w:val="009A4C73"/>
    <w:rsid w:val="009A4CBC"/>
    <w:rsid w:val="009A4DE6"/>
    <w:rsid w:val="009A4FAA"/>
    <w:rsid w:val="009A54E3"/>
    <w:rsid w:val="009A5C8D"/>
    <w:rsid w:val="009A62DC"/>
    <w:rsid w:val="009A657E"/>
    <w:rsid w:val="009A6BD4"/>
    <w:rsid w:val="009A6C61"/>
    <w:rsid w:val="009B01A5"/>
    <w:rsid w:val="009B024A"/>
    <w:rsid w:val="009B03D7"/>
    <w:rsid w:val="009B0499"/>
    <w:rsid w:val="009B05F8"/>
    <w:rsid w:val="009B114C"/>
    <w:rsid w:val="009B119D"/>
    <w:rsid w:val="009B11E6"/>
    <w:rsid w:val="009B120B"/>
    <w:rsid w:val="009B1439"/>
    <w:rsid w:val="009B1502"/>
    <w:rsid w:val="009B167B"/>
    <w:rsid w:val="009B195F"/>
    <w:rsid w:val="009B26EC"/>
    <w:rsid w:val="009B3E2D"/>
    <w:rsid w:val="009B3E4C"/>
    <w:rsid w:val="009B43F7"/>
    <w:rsid w:val="009B46CE"/>
    <w:rsid w:val="009B4716"/>
    <w:rsid w:val="009B4767"/>
    <w:rsid w:val="009B4881"/>
    <w:rsid w:val="009B4B74"/>
    <w:rsid w:val="009B53BF"/>
    <w:rsid w:val="009B55BA"/>
    <w:rsid w:val="009B5EF8"/>
    <w:rsid w:val="009B6985"/>
    <w:rsid w:val="009B6F29"/>
    <w:rsid w:val="009B6FD8"/>
    <w:rsid w:val="009B7DED"/>
    <w:rsid w:val="009C012A"/>
    <w:rsid w:val="009C037D"/>
    <w:rsid w:val="009C05C6"/>
    <w:rsid w:val="009C0604"/>
    <w:rsid w:val="009C061E"/>
    <w:rsid w:val="009C109C"/>
    <w:rsid w:val="009C1235"/>
    <w:rsid w:val="009C182F"/>
    <w:rsid w:val="009C1ACC"/>
    <w:rsid w:val="009C1BFF"/>
    <w:rsid w:val="009C1D55"/>
    <w:rsid w:val="009C2080"/>
    <w:rsid w:val="009C3163"/>
    <w:rsid w:val="009C35E3"/>
    <w:rsid w:val="009C3B23"/>
    <w:rsid w:val="009C3BD2"/>
    <w:rsid w:val="009C43EF"/>
    <w:rsid w:val="009C47B7"/>
    <w:rsid w:val="009C47C9"/>
    <w:rsid w:val="009C482F"/>
    <w:rsid w:val="009C4EA0"/>
    <w:rsid w:val="009C525D"/>
    <w:rsid w:val="009C5285"/>
    <w:rsid w:val="009C59E2"/>
    <w:rsid w:val="009C64A3"/>
    <w:rsid w:val="009C67E5"/>
    <w:rsid w:val="009C6A2B"/>
    <w:rsid w:val="009C7283"/>
    <w:rsid w:val="009C746C"/>
    <w:rsid w:val="009C74B4"/>
    <w:rsid w:val="009C7834"/>
    <w:rsid w:val="009C7873"/>
    <w:rsid w:val="009C7AA6"/>
    <w:rsid w:val="009C7B9A"/>
    <w:rsid w:val="009C7CA4"/>
    <w:rsid w:val="009D05DE"/>
    <w:rsid w:val="009D0827"/>
    <w:rsid w:val="009D08E9"/>
    <w:rsid w:val="009D0C72"/>
    <w:rsid w:val="009D17F3"/>
    <w:rsid w:val="009D186D"/>
    <w:rsid w:val="009D1FB8"/>
    <w:rsid w:val="009D2687"/>
    <w:rsid w:val="009D272E"/>
    <w:rsid w:val="009D3190"/>
    <w:rsid w:val="009D3293"/>
    <w:rsid w:val="009D3D52"/>
    <w:rsid w:val="009D42B1"/>
    <w:rsid w:val="009D448D"/>
    <w:rsid w:val="009D4D49"/>
    <w:rsid w:val="009D524C"/>
    <w:rsid w:val="009D57FA"/>
    <w:rsid w:val="009D6725"/>
    <w:rsid w:val="009D7750"/>
    <w:rsid w:val="009D7956"/>
    <w:rsid w:val="009D7A61"/>
    <w:rsid w:val="009E029E"/>
    <w:rsid w:val="009E086D"/>
    <w:rsid w:val="009E1139"/>
    <w:rsid w:val="009E12D5"/>
    <w:rsid w:val="009E1848"/>
    <w:rsid w:val="009E1DD7"/>
    <w:rsid w:val="009E1DEB"/>
    <w:rsid w:val="009E22AA"/>
    <w:rsid w:val="009E23D6"/>
    <w:rsid w:val="009E35E9"/>
    <w:rsid w:val="009E39A7"/>
    <w:rsid w:val="009E39C6"/>
    <w:rsid w:val="009E3F22"/>
    <w:rsid w:val="009E4027"/>
    <w:rsid w:val="009E40E1"/>
    <w:rsid w:val="009E40EB"/>
    <w:rsid w:val="009E417F"/>
    <w:rsid w:val="009E4312"/>
    <w:rsid w:val="009E4429"/>
    <w:rsid w:val="009E479D"/>
    <w:rsid w:val="009E4E14"/>
    <w:rsid w:val="009E57FF"/>
    <w:rsid w:val="009E6412"/>
    <w:rsid w:val="009E6B5B"/>
    <w:rsid w:val="009E6BA2"/>
    <w:rsid w:val="009E6DD9"/>
    <w:rsid w:val="009E6F7E"/>
    <w:rsid w:val="009E7225"/>
    <w:rsid w:val="009E73A5"/>
    <w:rsid w:val="009E73C2"/>
    <w:rsid w:val="009E7472"/>
    <w:rsid w:val="009E75BB"/>
    <w:rsid w:val="009E7687"/>
    <w:rsid w:val="009E79E6"/>
    <w:rsid w:val="009E7CB4"/>
    <w:rsid w:val="009F0F6B"/>
    <w:rsid w:val="009F251C"/>
    <w:rsid w:val="009F26C0"/>
    <w:rsid w:val="009F2760"/>
    <w:rsid w:val="009F30E4"/>
    <w:rsid w:val="009F47B7"/>
    <w:rsid w:val="009F483F"/>
    <w:rsid w:val="009F4AB7"/>
    <w:rsid w:val="009F4D0A"/>
    <w:rsid w:val="009F4D60"/>
    <w:rsid w:val="009F520E"/>
    <w:rsid w:val="009F52E5"/>
    <w:rsid w:val="009F5369"/>
    <w:rsid w:val="009F5F5E"/>
    <w:rsid w:val="009F6C8F"/>
    <w:rsid w:val="009F6F27"/>
    <w:rsid w:val="009F70FF"/>
    <w:rsid w:val="00A0062A"/>
    <w:rsid w:val="00A0065C"/>
    <w:rsid w:val="00A00D86"/>
    <w:rsid w:val="00A01680"/>
    <w:rsid w:val="00A01DA0"/>
    <w:rsid w:val="00A022B3"/>
    <w:rsid w:val="00A024ED"/>
    <w:rsid w:val="00A02C5A"/>
    <w:rsid w:val="00A02C96"/>
    <w:rsid w:val="00A02D41"/>
    <w:rsid w:val="00A032E1"/>
    <w:rsid w:val="00A03B67"/>
    <w:rsid w:val="00A040D7"/>
    <w:rsid w:val="00A04321"/>
    <w:rsid w:val="00A049B6"/>
    <w:rsid w:val="00A04C7D"/>
    <w:rsid w:val="00A04C88"/>
    <w:rsid w:val="00A05271"/>
    <w:rsid w:val="00A053D3"/>
    <w:rsid w:val="00A05734"/>
    <w:rsid w:val="00A05C5F"/>
    <w:rsid w:val="00A05C75"/>
    <w:rsid w:val="00A05C7F"/>
    <w:rsid w:val="00A0641E"/>
    <w:rsid w:val="00A072EB"/>
    <w:rsid w:val="00A07849"/>
    <w:rsid w:val="00A07915"/>
    <w:rsid w:val="00A07CEB"/>
    <w:rsid w:val="00A10454"/>
    <w:rsid w:val="00A1092D"/>
    <w:rsid w:val="00A1095B"/>
    <w:rsid w:val="00A10FCD"/>
    <w:rsid w:val="00A1207D"/>
    <w:rsid w:val="00A123B3"/>
    <w:rsid w:val="00A12F0C"/>
    <w:rsid w:val="00A14209"/>
    <w:rsid w:val="00A14674"/>
    <w:rsid w:val="00A146FC"/>
    <w:rsid w:val="00A147A9"/>
    <w:rsid w:val="00A149B4"/>
    <w:rsid w:val="00A14B4F"/>
    <w:rsid w:val="00A14DB9"/>
    <w:rsid w:val="00A14E0C"/>
    <w:rsid w:val="00A15406"/>
    <w:rsid w:val="00A157D3"/>
    <w:rsid w:val="00A158EF"/>
    <w:rsid w:val="00A16014"/>
    <w:rsid w:val="00A16374"/>
    <w:rsid w:val="00A163AC"/>
    <w:rsid w:val="00A2087A"/>
    <w:rsid w:val="00A208A1"/>
    <w:rsid w:val="00A21B64"/>
    <w:rsid w:val="00A21E1E"/>
    <w:rsid w:val="00A222EC"/>
    <w:rsid w:val="00A226BF"/>
    <w:rsid w:val="00A22C02"/>
    <w:rsid w:val="00A22C73"/>
    <w:rsid w:val="00A22DC2"/>
    <w:rsid w:val="00A22DD9"/>
    <w:rsid w:val="00A2343E"/>
    <w:rsid w:val="00A2354E"/>
    <w:rsid w:val="00A238CA"/>
    <w:rsid w:val="00A23C11"/>
    <w:rsid w:val="00A24014"/>
    <w:rsid w:val="00A253B0"/>
    <w:rsid w:val="00A25E1B"/>
    <w:rsid w:val="00A25E97"/>
    <w:rsid w:val="00A25F7D"/>
    <w:rsid w:val="00A26152"/>
    <w:rsid w:val="00A26286"/>
    <w:rsid w:val="00A26E1B"/>
    <w:rsid w:val="00A271B6"/>
    <w:rsid w:val="00A273AB"/>
    <w:rsid w:val="00A27511"/>
    <w:rsid w:val="00A27841"/>
    <w:rsid w:val="00A27EA7"/>
    <w:rsid w:val="00A30B8C"/>
    <w:rsid w:val="00A3165A"/>
    <w:rsid w:val="00A31B7E"/>
    <w:rsid w:val="00A327C5"/>
    <w:rsid w:val="00A32876"/>
    <w:rsid w:val="00A32C83"/>
    <w:rsid w:val="00A33A4C"/>
    <w:rsid w:val="00A345E9"/>
    <w:rsid w:val="00A348BC"/>
    <w:rsid w:val="00A34DA6"/>
    <w:rsid w:val="00A34FD5"/>
    <w:rsid w:val="00A355CA"/>
    <w:rsid w:val="00A3577F"/>
    <w:rsid w:val="00A35D48"/>
    <w:rsid w:val="00A35EDB"/>
    <w:rsid w:val="00A36481"/>
    <w:rsid w:val="00A364F4"/>
    <w:rsid w:val="00A369AA"/>
    <w:rsid w:val="00A36DBC"/>
    <w:rsid w:val="00A36FB8"/>
    <w:rsid w:val="00A3764D"/>
    <w:rsid w:val="00A37842"/>
    <w:rsid w:val="00A37BA0"/>
    <w:rsid w:val="00A37DE2"/>
    <w:rsid w:val="00A40633"/>
    <w:rsid w:val="00A416B1"/>
    <w:rsid w:val="00A419CD"/>
    <w:rsid w:val="00A42845"/>
    <w:rsid w:val="00A429A2"/>
    <w:rsid w:val="00A43493"/>
    <w:rsid w:val="00A43571"/>
    <w:rsid w:val="00A438BC"/>
    <w:rsid w:val="00A43D54"/>
    <w:rsid w:val="00A43DCC"/>
    <w:rsid w:val="00A44B19"/>
    <w:rsid w:val="00A45147"/>
    <w:rsid w:val="00A45A72"/>
    <w:rsid w:val="00A45E43"/>
    <w:rsid w:val="00A464FF"/>
    <w:rsid w:val="00A47246"/>
    <w:rsid w:val="00A4775C"/>
    <w:rsid w:val="00A47BEE"/>
    <w:rsid w:val="00A50828"/>
    <w:rsid w:val="00A5098C"/>
    <w:rsid w:val="00A50BB2"/>
    <w:rsid w:val="00A50D5A"/>
    <w:rsid w:val="00A51340"/>
    <w:rsid w:val="00A51480"/>
    <w:rsid w:val="00A52069"/>
    <w:rsid w:val="00A52B04"/>
    <w:rsid w:val="00A534F4"/>
    <w:rsid w:val="00A545B3"/>
    <w:rsid w:val="00A5513B"/>
    <w:rsid w:val="00A56841"/>
    <w:rsid w:val="00A570D4"/>
    <w:rsid w:val="00A605DF"/>
    <w:rsid w:val="00A608FB"/>
    <w:rsid w:val="00A6099A"/>
    <w:rsid w:val="00A60FF5"/>
    <w:rsid w:val="00A61099"/>
    <w:rsid w:val="00A618B9"/>
    <w:rsid w:val="00A61A13"/>
    <w:rsid w:val="00A61FB6"/>
    <w:rsid w:val="00A62BAA"/>
    <w:rsid w:val="00A62E3F"/>
    <w:rsid w:val="00A63037"/>
    <w:rsid w:val="00A63265"/>
    <w:rsid w:val="00A63608"/>
    <w:rsid w:val="00A63670"/>
    <w:rsid w:val="00A63687"/>
    <w:rsid w:val="00A63D9C"/>
    <w:rsid w:val="00A64439"/>
    <w:rsid w:val="00A6499C"/>
    <w:rsid w:val="00A64E14"/>
    <w:rsid w:val="00A6514D"/>
    <w:rsid w:val="00A65728"/>
    <w:rsid w:val="00A65B36"/>
    <w:rsid w:val="00A6659E"/>
    <w:rsid w:val="00A66925"/>
    <w:rsid w:val="00A66F95"/>
    <w:rsid w:val="00A672C0"/>
    <w:rsid w:val="00A6742D"/>
    <w:rsid w:val="00A678CD"/>
    <w:rsid w:val="00A67FF8"/>
    <w:rsid w:val="00A70C60"/>
    <w:rsid w:val="00A70D8B"/>
    <w:rsid w:val="00A70F71"/>
    <w:rsid w:val="00A712B8"/>
    <w:rsid w:val="00A714D5"/>
    <w:rsid w:val="00A71DE0"/>
    <w:rsid w:val="00A725F4"/>
    <w:rsid w:val="00A727D0"/>
    <w:rsid w:val="00A730D0"/>
    <w:rsid w:val="00A73622"/>
    <w:rsid w:val="00A73C49"/>
    <w:rsid w:val="00A74657"/>
    <w:rsid w:val="00A74E11"/>
    <w:rsid w:val="00A750CB"/>
    <w:rsid w:val="00A7548D"/>
    <w:rsid w:val="00A75ACF"/>
    <w:rsid w:val="00A75C1D"/>
    <w:rsid w:val="00A75CD9"/>
    <w:rsid w:val="00A75E32"/>
    <w:rsid w:val="00A7702B"/>
    <w:rsid w:val="00A776C6"/>
    <w:rsid w:val="00A776F9"/>
    <w:rsid w:val="00A805D4"/>
    <w:rsid w:val="00A80BB1"/>
    <w:rsid w:val="00A8107B"/>
    <w:rsid w:val="00A810E5"/>
    <w:rsid w:val="00A811F0"/>
    <w:rsid w:val="00A81999"/>
    <w:rsid w:val="00A81ED5"/>
    <w:rsid w:val="00A82026"/>
    <w:rsid w:val="00A82850"/>
    <w:rsid w:val="00A82879"/>
    <w:rsid w:val="00A82A34"/>
    <w:rsid w:val="00A82B99"/>
    <w:rsid w:val="00A830F1"/>
    <w:rsid w:val="00A836DD"/>
    <w:rsid w:val="00A83825"/>
    <w:rsid w:val="00A83BFD"/>
    <w:rsid w:val="00A83E65"/>
    <w:rsid w:val="00A844CA"/>
    <w:rsid w:val="00A84783"/>
    <w:rsid w:val="00A84A0A"/>
    <w:rsid w:val="00A852DB"/>
    <w:rsid w:val="00A853F9"/>
    <w:rsid w:val="00A8550E"/>
    <w:rsid w:val="00A85E8F"/>
    <w:rsid w:val="00A86D86"/>
    <w:rsid w:val="00A86EE3"/>
    <w:rsid w:val="00A870C5"/>
    <w:rsid w:val="00A8719A"/>
    <w:rsid w:val="00A87657"/>
    <w:rsid w:val="00A878FF"/>
    <w:rsid w:val="00A87DD5"/>
    <w:rsid w:val="00A87DE0"/>
    <w:rsid w:val="00A90683"/>
    <w:rsid w:val="00A9137F"/>
    <w:rsid w:val="00A9148C"/>
    <w:rsid w:val="00A9202C"/>
    <w:rsid w:val="00A9204B"/>
    <w:rsid w:val="00A9238A"/>
    <w:rsid w:val="00A92D16"/>
    <w:rsid w:val="00A930B4"/>
    <w:rsid w:val="00A93184"/>
    <w:rsid w:val="00A93BC4"/>
    <w:rsid w:val="00A945E6"/>
    <w:rsid w:val="00A948C6"/>
    <w:rsid w:val="00A94968"/>
    <w:rsid w:val="00A94A43"/>
    <w:rsid w:val="00A95633"/>
    <w:rsid w:val="00A96100"/>
    <w:rsid w:val="00A962EB"/>
    <w:rsid w:val="00A96470"/>
    <w:rsid w:val="00A9697C"/>
    <w:rsid w:val="00A97BFF"/>
    <w:rsid w:val="00A97CCA"/>
    <w:rsid w:val="00AA0076"/>
    <w:rsid w:val="00AA04E3"/>
    <w:rsid w:val="00AA204F"/>
    <w:rsid w:val="00AA227E"/>
    <w:rsid w:val="00AA25E3"/>
    <w:rsid w:val="00AA2710"/>
    <w:rsid w:val="00AA2A9C"/>
    <w:rsid w:val="00AA2F52"/>
    <w:rsid w:val="00AA3668"/>
    <w:rsid w:val="00AA3922"/>
    <w:rsid w:val="00AA3F17"/>
    <w:rsid w:val="00AA436D"/>
    <w:rsid w:val="00AA4570"/>
    <w:rsid w:val="00AA49B4"/>
    <w:rsid w:val="00AA56B4"/>
    <w:rsid w:val="00AA5804"/>
    <w:rsid w:val="00AA5A4D"/>
    <w:rsid w:val="00AA5CF2"/>
    <w:rsid w:val="00AA5EBD"/>
    <w:rsid w:val="00AA60CE"/>
    <w:rsid w:val="00AA6C5E"/>
    <w:rsid w:val="00AA6FF9"/>
    <w:rsid w:val="00AA7B1C"/>
    <w:rsid w:val="00AB0E58"/>
    <w:rsid w:val="00AB1126"/>
    <w:rsid w:val="00AB1311"/>
    <w:rsid w:val="00AB1CC7"/>
    <w:rsid w:val="00AB23EA"/>
    <w:rsid w:val="00AB2405"/>
    <w:rsid w:val="00AB24DD"/>
    <w:rsid w:val="00AB3675"/>
    <w:rsid w:val="00AB39AD"/>
    <w:rsid w:val="00AB40A6"/>
    <w:rsid w:val="00AB43CA"/>
    <w:rsid w:val="00AB4DA2"/>
    <w:rsid w:val="00AB529C"/>
    <w:rsid w:val="00AB6000"/>
    <w:rsid w:val="00AB6A76"/>
    <w:rsid w:val="00AB6BBA"/>
    <w:rsid w:val="00AB6DE8"/>
    <w:rsid w:val="00AB6DF5"/>
    <w:rsid w:val="00AB72B0"/>
    <w:rsid w:val="00AB79A2"/>
    <w:rsid w:val="00AB7D13"/>
    <w:rsid w:val="00AB7E28"/>
    <w:rsid w:val="00AB7E99"/>
    <w:rsid w:val="00AB7FD1"/>
    <w:rsid w:val="00AC07C5"/>
    <w:rsid w:val="00AC0A8C"/>
    <w:rsid w:val="00AC1886"/>
    <w:rsid w:val="00AC196A"/>
    <w:rsid w:val="00AC1D57"/>
    <w:rsid w:val="00AC1F63"/>
    <w:rsid w:val="00AC2523"/>
    <w:rsid w:val="00AC2D8F"/>
    <w:rsid w:val="00AC355F"/>
    <w:rsid w:val="00AC3617"/>
    <w:rsid w:val="00AC37A4"/>
    <w:rsid w:val="00AC3938"/>
    <w:rsid w:val="00AC45B0"/>
    <w:rsid w:val="00AC5EB7"/>
    <w:rsid w:val="00AC6445"/>
    <w:rsid w:val="00AC6645"/>
    <w:rsid w:val="00AC6A46"/>
    <w:rsid w:val="00AC7813"/>
    <w:rsid w:val="00AC782C"/>
    <w:rsid w:val="00AC7A15"/>
    <w:rsid w:val="00AC7FC8"/>
    <w:rsid w:val="00AD0665"/>
    <w:rsid w:val="00AD0ABE"/>
    <w:rsid w:val="00AD0B98"/>
    <w:rsid w:val="00AD1818"/>
    <w:rsid w:val="00AD193C"/>
    <w:rsid w:val="00AD19A3"/>
    <w:rsid w:val="00AD1A66"/>
    <w:rsid w:val="00AD1B05"/>
    <w:rsid w:val="00AD1BED"/>
    <w:rsid w:val="00AD2511"/>
    <w:rsid w:val="00AD2770"/>
    <w:rsid w:val="00AD28DA"/>
    <w:rsid w:val="00AD2F25"/>
    <w:rsid w:val="00AD318E"/>
    <w:rsid w:val="00AD3CC0"/>
    <w:rsid w:val="00AD4291"/>
    <w:rsid w:val="00AD42AF"/>
    <w:rsid w:val="00AD486E"/>
    <w:rsid w:val="00AD48CC"/>
    <w:rsid w:val="00AD4BDC"/>
    <w:rsid w:val="00AD4EDD"/>
    <w:rsid w:val="00AD54BC"/>
    <w:rsid w:val="00AD54F7"/>
    <w:rsid w:val="00AD5641"/>
    <w:rsid w:val="00AD5994"/>
    <w:rsid w:val="00AD5E75"/>
    <w:rsid w:val="00AD5EB4"/>
    <w:rsid w:val="00AD6598"/>
    <w:rsid w:val="00AD68CE"/>
    <w:rsid w:val="00AD6CD4"/>
    <w:rsid w:val="00AD723B"/>
    <w:rsid w:val="00AD78F8"/>
    <w:rsid w:val="00AD7CB6"/>
    <w:rsid w:val="00AD7DFC"/>
    <w:rsid w:val="00AD7FA0"/>
    <w:rsid w:val="00AE001F"/>
    <w:rsid w:val="00AE005C"/>
    <w:rsid w:val="00AE0674"/>
    <w:rsid w:val="00AE0EE0"/>
    <w:rsid w:val="00AE0FC3"/>
    <w:rsid w:val="00AE14B5"/>
    <w:rsid w:val="00AE1619"/>
    <w:rsid w:val="00AE22CD"/>
    <w:rsid w:val="00AE2740"/>
    <w:rsid w:val="00AE30C1"/>
    <w:rsid w:val="00AE320F"/>
    <w:rsid w:val="00AE3358"/>
    <w:rsid w:val="00AE33EA"/>
    <w:rsid w:val="00AE3464"/>
    <w:rsid w:val="00AE3584"/>
    <w:rsid w:val="00AE3601"/>
    <w:rsid w:val="00AE3857"/>
    <w:rsid w:val="00AE3937"/>
    <w:rsid w:val="00AE4465"/>
    <w:rsid w:val="00AE4618"/>
    <w:rsid w:val="00AE492A"/>
    <w:rsid w:val="00AE4AFF"/>
    <w:rsid w:val="00AE5594"/>
    <w:rsid w:val="00AE55AC"/>
    <w:rsid w:val="00AE57AE"/>
    <w:rsid w:val="00AE5873"/>
    <w:rsid w:val="00AE59AF"/>
    <w:rsid w:val="00AE5A44"/>
    <w:rsid w:val="00AE5B56"/>
    <w:rsid w:val="00AE5C90"/>
    <w:rsid w:val="00AE5CC4"/>
    <w:rsid w:val="00AE64B0"/>
    <w:rsid w:val="00AE6876"/>
    <w:rsid w:val="00AE6943"/>
    <w:rsid w:val="00AE6A71"/>
    <w:rsid w:val="00AE7774"/>
    <w:rsid w:val="00AF0127"/>
    <w:rsid w:val="00AF0C2D"/>
    <w:rsid w:val="00AF0E96"/>
    <w:rsid w:val="00AF1054"/>
    <w:rsid w:val="00AF1771"/>
    <w:rsid w:val="00AF1BAF"/>
    <w:rsid w:val="00AF1DBD"/>
    <w:rsid w:val="00AF23AD"/>
    <w:rsid w:val="00AF23BA"/>
    <w:rsid w:val="00AF2A0B"/>
    <w:rsid w:val="00AF2B41"/>
    <w:rsid w:val="00AF3034"/>
    <w:rsid w:val="00AF3D10"/>
    <w:rsid w:val="00AF46BE"/>
    <w:rsid w:val="00AF4708"/>
    <w:rsid w:val="00AF5575"/>
    <w:rsid w:val="00AF68E9"/>
    <w:rsid w:val="00AF6D8F"/>
    <w:rsid w:val="00AF7750"/>
    <w:rsid w:val="00AF7B08"/>
    <w:rsid w:val="00AF7E5E"/>
    <w:rsid w:val="00AF7FD8"/>
    <w:rsid w:val="00B00003"/>
    <w:rsid w:val="00B00493"/>
    <w:rsid w:val="00B01503"/>
    <w:rsid w:val="00B01DE0"/>
    <w:rsid w:val="00B021D1"/>
    <w:rsid w:val="00B0271B"/>
    <w:rsid w:val="00B029F6"/>
    <w:rsid w:val="00B02D09"/>
    <w:rsid w:val="00B02FEC"/>
    <w:rsid w:val="00B03209"/>
    <w:rsid w:val="00B032F7"/>
    <w:rsid w:val="00B0334B"/>
    <w:rsid w:val="00B03426"/>
    <w:rsid w:val="00B0363A"/>
    <w:rsid w:val="00B0364D"/>
    <w:rsid w:val="00B03BD1"/>
    <w:rsid w:val="00B040EE"/>
    <w:rsid w:val="00B049CE"/>
    <w:rsid w:val="00B04B35"/>
    <w:rsid w:val="00B04ED6"/>
    <w:rsid w:val="00B053D0"/>
    <w:rsid w:val="00B0597C"/>
    <w:rsid w:val="00B05E08"/>
    <w:rsid w:val="00B064D0"/>
    <w:rsid w:val="00B0669D"/>
    <w:rsid w:val="00B06B1A"/>
    <w:rsid w:val="00B06FB1"/>
    <w:rsid w:val="00B078C0"/>
    <w:rsid w:val="00B07B32"/>
    <w:rsid w:val="00B103AE"/>
    <w:rsid w:val="00B10411"/>
    <w:rsid w:val="00B10769"/>
    <w:rsid w:val="00B1091D"/>
    <w:rsid w:val="00B10FBA"/>
    <w:rsid w:val="00B110E6"/>
    <w:rsid w:val="00B122DD"/>
    <w:rsid w:val="00B12949"/>
    <w:rsid w:val="00B12ABA"/>
    <w:rsid w:val="00B1325A"/>
    <w:rsid w:val="00B1375C"/>
    <w:rsid w:val="00B13B77"/>
    <w:rsid w:val="00B140E0"/>
    <w:rsid w:val="00B14187"/>
    <w:rsid w:val="00B144E2"/>
    <w:rsid w:val="00B1458A"/>
    <w:rsid w:val="00B14D37"/>
    <w:rsid w:val="00B161AE"/>
    <w:rsid w:val="00B163B3"/>
    <w:rsid w:val="00B1646B"/>
    <w:rsid w:val="00B1680E"/>
    <w:rsid w:val="00B16C1C"/>
    <w:rsid w:val="00B17227"/>
    <w:rsid w:val="00B174A6"/>
    <w:rsid w:val="00B1758E"/>
    <w:rsid w:val="00B177D2"/>
    <w:rsid w:val="00B17858"/>
    <w:rsid w:val="00B17881"/>
    <w:rsid w:val="00B20009"/>
    <w:rsid w:val="00B206E0"/>
    <w:rsid w:val="00B20767"/>
    <w:rsid w:val="00B20B8A"/>
    <w:rsid w:val="00B21993"/>
    <w:rsid w:val="00B21CAC"/>
    <w:rsid w:val="00B21DD2"/>
    <w:rsid w:val="00B21EFE"/>
    <w:rsid w:val="00B21F29"/>
    <w:rsid w:val="00B223A6"/>
    <w:rsid w:val="00B22FAD"/>
    <w:rsid w:val="00B232AB"/>
    <w:rsid w:val="00B237A9"/>
    <w:rsid w:val="00B238F3"/>
    <w:rsid w:val="00B240BD"/>
    <w:rsid w:val="00B2475C"/>
    <w:rsid w:val="00B24785"/>
    <w:rsid w:val="00B25950"/>
    <w:rsid w:val="00B25D4F"/>
    <w:rsid w:val="00B25E91"/>
    <w:rsid w:val="00B25EFF"/>
    <w:rsid w:val="00B261BA"/>
    <w:rsid w:val="00B26370"/>
    <w:rsid w:val="00B265FE"/>
    <w:rsid w:val="00B26F3B"/>
    <w:rsid w:val="00B27162"/>
    <w:rsid w:val="00B27BE0"/>
    <w:rsid w:val="00B3015E"/>
    <w:rsid w:val="00B30439"/>
    <w:rsid w:val="00B304A6"/>
    <w:rsid w:val="00B30B2A"/>
    <w:rsid w:val="00B3156C"/>
    <w:rsid w:val="00B31D0F"/>
    <w:rsid w:val="00B325E9"/>
    <w:rsid w:val="00B328B3"/>
    <w:rsid w:val="00B32AD8"/>
    <w:rsid w:val="00B33536"/>
    <w:rsid w:val="00B33BE5"/>
    <w:rsid w:val="00B347D0"/>
    <w:rsid w:val="00B3491E"/>
    <w:rsid w:val="00B34967"/>
    <w:rsid w:val="00B358FB"/>
    <w:rsid w:val="00B35BD1"/>
    <w:rsid w:val="00B36080"/>
    <w:rsid w:val="00B36159"/>
    <w:rsid w:val="00B368B0"/>
    <w:rsid w:val="00B36B68"/>
    <w:rsid w:val="00B36FBC"/>
    <w:rsid w:val="00B3702A"/>
    <w:rsid w:val="00B37801"/>
    <w:rsid w:val="00B378FA"/>
    <w:rsid w:val="00B37D2F"/>
    <w:rsid w:val="00B37ED5"/>
    <w:rsid w:val="00B406C8"/>
    <w:rsid w:val="00B40C64"/>
    <w:rsid w:val="00B40C7E"/>
    <w:rsid w:val="00B40F37"/>
    <w:rsid w:val="00B41768"/>
    <w:rsid w:val="00B4206D"/>
    <w:rsid w:val="00B42317"/>
    <w:rsid w:val="00B4255E"/>
    <w:rsid w:val="00B42836"/>
    <w:rsid w:val="00B42BA9"/>
    <w:rsid w:val="00B434C1"/>
    <w:rsid w:val="00B44470"/>
    <w:rsid w:val="00B4457E"/>
    <w:rsid w:val="00B448A1"/>
    <w:rsid w:val="00B45941"/>
    <w:rsid w:val="00B45B9B"/>
    <w:rsid w:val="00B45E02"/>
    <w:rsid w:val="00B461DF"/>
    <w:rsid w:val="00B46C63"/>
    <w:rsid w:val="00B4738B"/>
    <w:rsid w:val="00B47576"/>
    <w:rsid w:val="00B47DC7"/>
    <w:rsid w:val="00B5045B"/>
    <w:rsid w:val="00B50B5C"/>
    <w:rsid w:val="00B50C6A"/>
    <w:rsid w:val="00B50D62"/>
    <w:rsid w:val="00B51014"/>
    <w:rsid w:val="00B51994"/>
    <w:rsid w:val="00B51A68"/>
    <w:rsid w:val="00B525D4"/>
    <w:rsid w:val="00B525F3"/>
    <w:rsid w:val="00B5263F"/>
    <w:rsid w:val="00B52E2B"/>
    <w:rsid w:val="00B5324E"/>
    <w:rsid w:val="00B5324F"/>
    <w:rsid w:val="00B53644"/>
    <w:rsid w:val="00B539BF"/>
    <w:rsid w:val="00B53C5F"/>
    <w:rsid w:val="00B5422D"/>
    <w:rsid w:val="00B54677"/>
    <w:rsid w:val="00B547DE"/>
    <w:rsid w:val="00B5493E"/>
    <w:rsid w:val="00B54AAC"/>
    <w:rsid w:val="00B54BBE"/>
    <w:rsid w:val="00B54C2D"/>
    <w:rsid w:val="00B54C96"/>
    <w:rsid w:val="00B55370"/>
    <w:rsid w:val="00B554F4"/>
    <w:rsid w:val="00B5583B"/>
    <w:rsid w:val="00B56065"/>
    <w:rsid w:val="00B56492"/>
    <w:rsid w:val="00B56E75"/>
    <w:rsid w:val="00B57626"/>
    <w:rsid w:val="00B57701"/>
    <w:rsid w:val="00B5787E"/>
    <w:rsid w:val="00B57D3D"/>
    <w:rsid w:val="00B57FF7"/>
    <w:rsid w:val="00B600F2"/>
    <w:rsid w:val="00B6038C"/>
    <w:rsid w:val="00B605D9"/>
    <w:rsid w:val="00B60958"/>
    <w:rsid w:val="00B6100B"/>
    <w:rsid w:val="00B61EAF"/>
    <w:rsid w:val="00B6271B"/>
    <w:rsid w:val="00B62C8C"/>
    <w:rsid w:val="00B62CC4"/>
    <w:rsid w:val="00B63355"/>
    <w:rsid w:val="00B63B53"/>
    <w:rsid w:val="00B63F62"/>
    <w:rsid w:val="00B64028"/>
    <w:rsid w:val="00B64900"/>
    <w:rsid w:val="00B64A02"/>
    <w:rsid w:val="00B64B33"/>
    <w:rsid w:val="00B64E72"/>
    <w:rsid w:val="00B64E9E"/>
    <w:rsid w:val="00B64EC2"/>
    <w:rsid w:val="00B6581A"/>
    <w:rsid w:val="00B65D2C"/>
    <w:rsid w:val="00B66034"/>
    <w:rsid w:val="00B660A5"/>
    <w:rsid w:val="00B66F42"/>
    <w:rsid w:val="00B6746A"/>
    <w:rsid w:val="00B6757A"/>
    <w:rsid w:val="00B6783D"/>
    <w:rsid w:val="00B70137"/>
    <w:rsid w:val="00B7067D"/>
    <w:rsid w:val="00B70707"/>
    <w:rsid w:val="00B70981"/>
    <w:rsid w:val="00B70CE3"/>
    <w:rsid w:val="00B70EAE"/>
    <w:rsid w:val="00B7102C"/>
    <w:rsid w:val="00B714F5"/>
    <w:rsid w:val="00B71964"/>
    <w:rsid w:val="00B72199"/>
    <w:rsid w:val="00B7226D"/>
    <w:rsid w:val="00B72737"/>
    <w:rsid w:val="00B72913"/>
    <w:rsid w:val="00B7328C"/>
    <w:rsid w:val="00B732C7"/>
    <w:rsid w:val="00B73EE9"/>
    <w:rsid w:val="00B74624"/>
    <w:rsid w:val="00B746E6"/>
    <w:rsid w:val="00B7489B"/>
    <w:rsid w:val="00B749B1"/>
    <w:rsid w:val="00B74ADD"/>
    <w:rsid w:val="00B75641"/>
    <w:rsid w:val="00B75A2E"/>
    <w:rsid w:val="00B75B71"/>
    <w:rsid w:val="00B75CEE"/>
    <w:rsid w:val="00B76707"/>
    <w:rsid w:val="00B77463"/>
    <w:rsid w:val="00B777F1"/>
    <w:rsid w:val="00B77F26"/>
    <w:rsid w:val="00B80D11"/>
    <w:rsid w:val="00B80DEE"/>
    <w:rsid w:val="00B812FE"/>
    <w:rsid w:val="00B820A1"/>
    <w:rsid w:val="00B824B1"/>
    <w:rsid w:val="00B8284E"/>
    <w:rsid w:val="00B82A7B"/>
    <w:rsid w:val="00B82C60"/>
    <w:rsid w:val="00B837E8"/>
    <w:rsid w:val="00B845B3"/>
    <w:rsid w:val="00B84A14"/>
    <w:rsid w:val="00B84A71"/>
    <w:rsid w:val="00B84D5E"/>
    <w:rsid w:val="00B856C0"/>
    <w:rsid w:val="00B85F72"/>
    <w:rsid w:val="00B85FA1"/>
    <w:rsid w:val="00B86073"/>
    <w:rsid w:val="00B8625B"/>
    <w:rsid w:val="00B86AD0"/>
    <w:rsid w:val="00B86C2D"/>
    <w:rsid w:val="00B86EFE"/>
    <w:rsid w:val="00B86F23"/>
    <w:rsid w:val="00B87539"/>
    <w:rsid w:val="00B875D9"/>
    <w:rsid w:val="00B8760C"/>
    <w:rsid w:val="00B87919"/>
    <w:rsid w:val="00B87CDD"/>
    <w:rsid w:val="00B87D97"/>
    <w:rsid w:val="00B87DC5"/>
    <w:rsid w:val="00B90691"/>
    <w:rsid w:val="00B908EC"/>
    <w:rsid w:val="00B909C6"/>
    <w:rsid w:val="00B90D15"/>
    <w:rsid w:val="00B9102D"/>
    <w:rsid w:val="00B91281"/>
    <w:rsid w:val="00B921EC"/>
    <w:rsid w:val="00B92499"/>
    <w:rsid w:val="00B92545"/>
    <w:rsid w:val="00B9270D"/>
    <w:rsid w:val="00B92DB1"/>
    <w:rsid w:val="00B92DE2"/>
    <w:rsid w:val="00B933EF"/>
    <w:rsid w:val="00B93525"/>
    <w:rsid w:val="00B93A4A"/>
    <w:rsid w:val="00B941FC"/>
    <w:rsid w:val="00B94320"/>
    <w:rsid w:val="00B944CE"/>
    <w:rsid w:val="00B94C01"/>
    <w:rsid w:val="00B94EE3"/>
    <w:rsid w:val="00B95AA2"/>
    <w:rsid w:val="00B95CED"/>
    <w:rsid w:val="00B96876"/>
    <w:rsid w:val="00B96BDE"/>
    <w:rsid w:val="00B96CBF"/>
    <w:rsid w:val="00B97650"/>
    <w:rsid w:val="00BA046C"/>
    <w:rsid w:val="00BA07FC"/>
    <w:rsid w:val="00BA0C93"/>
    <w:rsid w:val="00BA1089"/>
    <w:rsid w:val="00BA1331"/>
    <w:rsid w:val="00BA15D4"/>
    <w:rsid w:val="00BA1D7B"/>
    <w:rsid w:val="00BA2F42"/>
    <w:rsid w:val="00BA331F"/>
    <w:rsid w:val="00BA3739"/>
    <w:rsid w:val="00BA3916"/>
    <w:rsid w:val="00BA3B00"/>
    <w:rsid w:val="00BA3C7D"/>
    <w:rsid w:val="00BA4783"/>
    <w:rsid w:val="00BA4B80"/>
    <w:rsid w:val="00BA5BB8"/>
    <w:rsid w:val="00BA5C56"/>
    <w:rsid w:val="00BA65F3"/>
    <w:rsid w:val="00BA677B"/>
    <w:rsid w:val="00BA68FD"/>
    <w:rsid w:val="00BA6FC9"/>
    <w:rsid w:val="00BA71E3"/>
    <w:rsid w:val="00BA71F8"/>
    <w:rsid w:val="00BB0186"/>
    <w:rsid w:val="00BB01DA"/>
    <w:rsid w:val="00BB06CF"/>
    <w:rsid w:val="00BB07E7"/>
    <w:rsid w:val="00BB109A"/>
    <w:rsid w:val="00BB1E16"/>
    <w:rsid w:val="00BB28E0"/>
    <w:rsid w:val="00BB2D37"/>
    <w:rsid w:val="00BB4842"/>
    <w:rsid w:val="00BB4B4C"/>
    <w:rsid w:val="00BB518C"/>
    <w:rsid w:val="00BB5260"/>
    <w:rsid w:val="00BB571F"/>
    <w:rsid w:val="00BB596E"/>
    <w:rsid w:val="00BB5A64"/>
    <w:rsid w:val="00BB5AA7"/>
    <w:rsid w:val="00BB5B14"/>
    <w:rsid w:val="00BB6A60"/>
    <w:rsid w:val="00BB6C75"/>
    <w:rsid w:val="00BB7462"/>
    <w:rsid w:val="00BB7537"/>
    <w:rsid w:val="00BB7D95"/>
    <w:rsid w:val="00BC046D"/>
    <w:rsid w:val="00BC05D4"/>
    <w:rsid w:val="00BC07D8"/>
    <w:rsid w:val="00BC0941"/>
    <w:rsid w:val="00BC0F69"/>
    <w:rsid w:val="00BC1411"/>
    <w:rsid w:val="00BC1549"/>
    <w:rsid w:val="00BC191E"/>
    <w:rsid w:val="00BC41BC"/>
    <w:rsid w:val="00BC425B"/>
    <w:rsid w:val="00BC495D"/>
    <w:rsid w:val="00BC4A4D"/>
    <w:rsid w:val="00BC4F77"/>
    <w:rsid w:val="00BC4FA0"/>
    <w:rsid w:val="00BC52DB"/>
    <w:rsid w:val="00BC5BF9"/>
    <w:rsid w:val="00BC6339"/>
    <w:rsid w:val="00BC66C0"/>
    <w:rsid w:val="00BC6F35"/>
    <w:rsid w:val="00BC6FFC"/>
    <w:rsid w:val="00BC760B"/>
    <w:rsid w:val="00BD07B5"/>
    <w:rsid w:val="00BD0BB0"/>
    <w:rsid w:val="00BD0E0F"/>
    <w:rsid w:val="00BD1793"/>
    <w:rsid w:val="00BD1821"/>
    <w:rsid w:val="00BD1A8C"/>
    <w:rsid w:val="00BD1C0F"/>
    <w:rsid w:val="00BD1FAE"/>
    <w:rsid w:val="00BD22EB"/>
    <w:rsid w:val="00BD2879"/>
    <w:rsid w:val="00BD3039"/>
    <w:rsid w:val="00BD3D34"/>
    <w:rsid w:val="00BD4E33"/>
    <w:rsid w:val="00BD57C0"/>
    <w:rsid w:val="00BD5AB5"/>
    <w:rsid w:val="00BD6142"/>
    <w:rsid w:val="00BD6465"/>
    <w:rsid w:val="00BD6562"/>
    <w:rsid w:val="00BD6B2C"/>
    <w:rsid w:val="00BD6C99"/>
    <w:rsid w:val="00BD6F35"/>
    <w:rsid w:val="00BD6F45"/>
    <w:rsid w:val="00BD6F5E"/>
    <w:rsid w:val="00BD7B03"/>
    <w:rsid w:val="00BD7F7B"/>
    <w:rsid w:val="00BD7FE8"/>
    <w:rsid w:val="00BE1978"/>
    <w:rsid w:val="00BE1C5B"/>
    <w:rsid w:val="00BE210B"/>
    <w:rsid w:val="00BE2BEB"/>
    <w:rsid w:val="00BE2FB8"/>
    <w:rsid w:val="00BE3256"/>
    <w:rsid w:val="00BE3690"/>
    <w:rsid w:val="00BE3A41"/>
    <w:rsid w:val="00BE3B20"/>
    <w:rsid w:val="00BE4019"/>
    <w:rsid w:val="00BE4225"/>
    <w:rsid w:val="00BE4850"/>
    <w:rsid w:val="00BE49A4"/>
    <w:rsid w:val="00BE4A55"/>
    <w:rsid w:val="00BE5201"/>
    <w:rsid w:val="00BE5653"/>
    <w:rsid w:val="00BE5CB2"/>
    <w:rsid w:val="00BE637F"/>
    <w:rsid w:val="00BE6883"/>
    <w:rsid w:val="00BE6932"/>
    <w:rsid w:val="00BE6CD0"/>
    <w:rsid w:val="00BE77D5"/>
    <w:rsid w:val="00BE7B94"/>
    <w:rsid w:val="00BE7CA1"/>
    <w:rsid w:val="00BF0252"/>
    <w:rsid w:val="00BF042A"/>
    <w:rsid w:val="00BF0633"/>
    <w:rsid w:val="00BF0A86"/>
    <w:rsid w:val="00BF0C68"/>
    <w:rsid w:val="00BF192D"/>
    <w:rsid w:val="00BF1D1B"/>
    <w:rsid w:val="00BF1F57"/>
    <w:rsid w:val="00BF208B"/>
    <w:rsid w:val="00BF2629"/>
    <w:rsid w:val="00BF2D68"/>
    <w:rsid w:val="00BF2DEF"/>
    <w:rsid w:val="00BF2F9B"/>
    <w:rsid w:val="00BF32C3"/>
    <w:rsid w:val="00BF3411"/>
    <w:rsid w:val="00BF3AB7"/>
    <w:rsid w:val="00BF3B4E"/>
    <w:rsid w:val="00BF3D7D"/>
    <w:rsid w:val="00BF3E36"/>
    <w:rsid w:val="00BF426F"/>
    <w:rsid w:val="00BF468C"/>
    <w:rsid w:val="00BF4D31"/>
    <w:rsid w:val="00BF4D58"/>
    <w:rsid w:val="00BF5055"/>
    <w:rsid w:val="00BF5492"/>
    <w:rsid w:val="00BF5D39"/>
    <w:rsid w:val="00BF6041"/>
    <w:rsid w:val="00BF60BD"/>
    <w:rsid w:val="00BF6306"/>
    <w:rsid w:val="00BF648A"/>
    <w:rsid w:val="00BF654A"/>
    <w:rsid w:val="00BF6811"/>
    <w:rsid w:val="00BF75F3"/>
    <w:rsid w:val="00BF7DE4"/>
    <w:rsid w:val="00C00488"/>
    <w:rsid w:val="00C00F12"/>
    <w:rsid w:val="00C013E1"/>
    <w:rsid w:val="00C01505"/>
    <w:rsid w:val="00C02573"/>
    <w:rsid w:val="00C02621"/>
    <w:rsid w:val="00C02791"/>
    <w:rsid w:val="00C02BDA"/>
    <w:rsid w:val="00C03822"/>
    <w:rsid w:val="00C03932"/>
    <w:rsid w:val="00C03A57"/>
    <w:rsid w:val="00C03A90"/>
    <w:rsid w:val="00C03FC7"/>
    <w:rsid w:val="00C0475B"/>
    <w:rsid w:val="00C048DC"/>
    <w:rsid w:val="00C04D32"/>
    <w:rsid w:val="00C04FCB"/>
    <w:rsid w:val="00C0519A"/>
    <w:rsid w:val="00C05281"/>
    <w:rsid w:val="00C05CFB"/>
    <w:rsid w:val="00C068DC"/>
    <w:rsid w:val="00C06DBA"/>
    <w:rsid w:val="00C071C8"/>
    <w:rsid w:val="00C07AE3"/>
    <w:rsid w:val="00C07DD4"/>
    <w:rsid w:val="00C1047C"/>
    <w:rsid w:val="00C1091A"/>
    <w:rsid w:val="00C10ACF"/>
    <w:rsid w:val="00C10CA3"/>
    <w:rsid w:val="00C10CD0"/>
    <w:rsid w:val="00C1182C"/>
    <w:rsid w:val="00C11917"/>
    <w:rsid w:val="00C1198A"/>
    <w:rsid w:val="00C11A52"/>
    <w:rsid w:val="00C120A9"/>
    <w:rsid w:val="00C1260D"/>
    <w:rsid w:val="00C12B21"/>
    <w:rsid w:val="00C12B62"/>
    <w:rsid w:val="00C1309A"/>
    <w:rsid w:val="00C1367D"/>
    <w:rsid w:val="00C13D9B"/>
    <w:rsid w:val="00C159ED"/>
    <w:rsid w:val="00C15C07"/>
    <w:rsid w:val="00C16105"/>
    <w:rsid w:val="00C16156"/>
    <w:rsid w:val="00C16449"/>
    <w:rsid w:val="00C16A14"/>
    <w:rsid w:val="00C1703A"/>
    <w:rsid w:val="00C172C4"/>
    <w:rsid w:val="00C172E8"/>
    <w:rsid w:val="00C1739B"/>
    <w:rsid w:val="00C17B9C"/>
    <w:rsid w:val="00C17BDF"/>
    <w:rsid w:val="00C17D6C"/>
    <w:rsid w:val="00C2035B"/>
    <w:rsid w:val="00C2068B"/>
    <w:rsid w:val="00C20AEE"/>
    <w:rsid w:val="00C212E4"/>
    <w:rsid w:val="00C22673"/>
    <w:rsid w:val="00C22B15"/>
    <w:rsid w:val="00C23209"/>
    <w:rsid w:val="00C23335"/>
    <w:rsid w:val="00C234E1"/>
    <w:rsid w:val="00C23A7E"/>
    <w:rsid w:val="00C242AE"/>
    <w:rsid w:val="00C24CAD"/>
    <w:rsid w:val="00C24F66"/>
    <w:rsid w:val="00C25320"/>
    <w:rsid w:val="00C256CC"/>
    <w:rsid w:val="00C25818"/>
    <w:rsid w:val="00C25895"/>
    <w:rsid w:val="00C25F70"/>
    <w:rsid w:val="00C26234"/>
    <w:rsid w:val="00C2627D"/>
    <w:rsid w:val="00C263F0"/>
    <w:rsid w:val="00C26F4C"/>
    <w:rsid w:val="00C27102"/>
    <w:rsid w:val="00C2722B"/>
    <w:rsid w:val="00C2735C"/>
    <w:rsid w:val="00C2738D"/>
    <w:rsid w:val="00C2764E"/>
    <w:rsid w:val="00C27A16"/>
    <w:rsid w:val="00C27B27"/>
    <w:rsid w:val="00C27BDA"/>
    <w:rsid w:val="00C27FA1"/>
    <w:rsid w:val="00C307F2"/>
    <w:rsid w:val="00C30928"/>
    <w:rsid w:val="00C30FA6"/>
    <w:rsid w:val="00C320A7"/>
    <w:rsid w:val="00C32446"/>
    <w:rsid w:val="00C326F6"/>
    <w:rsid w:val="00C329F3"/>
    <w:rsid w:val="00C33131"/>
    <w:rsid w:val="00C332DE"/>
    <w:rsid w:val="00C33300"/>
    <w:rsid w:val="00C33480"/>
    <w:rsid w:val="00C33C88"/>
    <w:rsid w:val="00C3576B"/>
    <w:rsid w:val="00C358B4"/>
    <w:rsid w:val="00C35F19"/>
    <w:rsid w:val="00C368C0"/>
    <w:rsid w:val="00C368FA"/>
    <w:rsid w:val="00C36C55"/>
    <w:rsid w:val="00C36CE4"/>
    <w:rsid w:val="00C37124"/>
    <w:rsid w:val="00C3713E"/>
    <w:rsid w:val="00C37F0E"/>
    <w:rsid w:val="00C40A63"/>
    <w:rsid w:val="00C40AF8"/>
    <w:rsid w:val="00C40C8B"/>
    <w:rsid w:val="00C40CFC"/>
    <w:rsid w:val="00C40DEC"/>
    <w:rsid w:val="00C41223"/>
    <w:rsid w:val="00C41406"/>
    <w:rsid w:val="00C41827"/>
    <w:rsid w:val="00C422F0"/>
    <w:rsid w:val="00C42343"/>
    <w:rsid w:val="00C42655"/>
    <w:rsid w:val="00C42681"/>
    <w:rsid w:val="00C42A95"/>
    <w:rsid w:val="00C42E68"/>
    <w:rsid w:val="00C4332F"/>
    <w:rsid w:val="00C436B8"/>
    <w:rsid w:val="00C4392D"/>
    <w:rsid w:val="00C43B61"/>
    <w:rsid w:val="00C44AB4"/>
    <w:rsid w:val="00C44B95"/>
    <w:rsid w:val="00C44D2F"/>
    <w:rsid w:val="00C45591"/>
    <w:rsid w:val="00C4573B"/>
    <w:rsid w:val="00C45B29"/>
    <w:rsid w:val="00C45EB6"/>
    <w:rsid w:val="00C46583"/>
    <w:rsid w:val="00C465EB"/>
    <w:rsid w:val="00C468D3"/>
    <w:rsid w:val="00C46B18"/>
    <w:rsid w:val="00C47AE7"/>
    <w:rsid w:val="00C5006B"/>
    <w:rsid w:val="00C50664"/>
    <w:rsid w:val="00C50967"/>
    <w:rsid w:val="00C50A82"/>
    <w:rsid w:val="00C50B83"/>
    <w:rsid w:val="00C51469"/>
    <w:rsid w:val="00C51A91"/>
    <w:rsid w:val="00C51B57"/>
    <w:rsid w:val="00C51C06"/>
    <w:rsid w:val="00C51D3B"/>
    <w:rsid w:val="00C51FFB"/>
    <w:rsid w:val="00C523E7"/>
    <w:rsid w:val="00C52653"/>
    <w:rsid w:val="00C52B08"/>
    <w:rsid w:val="00C52BE4"/>
    <w:rsid w:val="00C53015"/>
    <w:rsid w:val="00C5382B"/>
    <w:rsid w:val="00C538C2"/>
    <w:rsid w:val="00C5399F"/>
    <w:rsid w:val="00C54069"/>
    <w:rsid w:val="00C5468E"/>
    <w:rsid w:val="00C5492E"/>
    <w:rsid w:val="00C54C65"/>
    <w:rsid w:val="00C54E0A"/>
    <w:rsid w:val="00C551D4"/>
    <w:rsid w:val="00C553C8"/>
    <w:rsid w:val="00C55A8A"/>
    <w:rsid w:val="00C56006"/>
    <w:rsid w:val="00C562CB"/>
    <w:rsid w:val="00C562F8"/>
    <w:rsid w:val="00C56787"/>
    <w:rsid w:val="00C568FC"/>
    <w:rsid w:val="00C56A36"/>
    <w:rsid w:val="00C56ADE"/>
    <w:rsid w:val="00C56B7F"/>
    <w:rsid w:val="00C5711D"/>
    <w:rsid w:val="00C5714C"/>
    <w:rsid w:val="00C57262"/>
    <w:rsid w:val="00C5772E"/>
    <w:rsid w:val="00C57F42"/>
    <w:rsid w:val="00C600EA"/>
    <w:rsid w:val="00C60349"/>
    <w:rsid w:val="00C603D9"/>
    <w:rsid w:val="00C60493"/>
    <w:rsid w:val="00C6078E"/>
    <w:rsid w:val="00C6107B"/>
    <w:rsid w:val="00C61459"/>
    <w:rsid w:val="00C6146F"/>
    <w:rsid w:val="00C61824"/>
    <w:rsid w:val="00C61AF6"/>
    <w:rsid w:val="00C62240"/>
    <w:rsid w:val="00C63373"/>
    <w:rsid w:val="00C63B68"/>
    <w:rsid w:val="00C640B8"/>
    <w:rsid w:val="00C642DF"/>
    <w:rsid w:val="00C64463"/>
    <w:rsid w:val="00C64A29"/>
    <w:rsid w:val="00C65109"/>
    <w:rsid w:val="00C6552D"/>
    <w:rsid w:val="00C656B9"/>
    <w:rsid w:val="00C658C2"/>
    <w:rsid w:val="00C65DB9"/>
    <w:rsid w:val="00C66AC5"/>
    <w:rsid w:val="00C670D2"/>
    <w:rsid w:val="00C671C6"/>
    <w:rsid w:val="00C671EE"/>
    <w:rsid w:val="00C672B9"/>
    <w:rsid w:val="00C67534"/>
    <w:rsid w:val="00C6763D"/>
    <w:rsid w:val="00C70D00"/>
    <w:rsid w:val="00C71913"/>
    <w:rsid w:val="00C71A80"/>
    <w:rsid w:val="00C71BF4"/>
    <w:rsid w:val="00C72752"/>
    <w:rsid w:val="00C72986"/>
    <w:rsid w:val="00C72B00"/>
    <w:rsid w:val="00C72D1A"/>
    <w:rsid w:val="00C736D6"/>
    <w:rsid w:val="00C740E2"/>
    <w:rsid w:val="00C744BF"/>
    <w:rsid w:val="00C74CBE"/>
    <w:rsid w:val="00C750EA"/>
    <w:rsid w:val="00C75471"/>
    <w:rsid w:val="00C75A8A"/>
    <w:rsid w:val="00C75D9E"/>
    <w:rsid w:val="00C75FC3"/>
    <w:rsid w:val="00C76157"/>
    <w:rsid w:val="00C76E33"/>
    <w:rsid w:val="00C7743B"/>
    <w:rsid w:val="00C77573"/>
    <w:rsid w:val="00C776AB"/>
    <w:rsid w:val="00C778B1"/>
    <w:rsid w:val="00C779E5"/>
    <w:rsid w:val="00C77A61"/>
    <w:rsid w:val="00C804F7"/>
    <w:rsid w:val="00C80E79"/>
    <w:rsid w:val="00C81025"/>
    <w:rsid w:val="00C814D3"/>
    <w:rsid w:val="00C816A1"/>
    <w:rsid w:val="00C81A61"/>
    <w:rsid w:val="00C821F7"/>
    <w:rsid w:val="00C8340E"/>
    <w:rsid w:val="00C83898"/>
    <w:rsid w:val="00C83902"/>
    <w:rsid w:val="00C839A2"/>
    <w:rsid w:val="00C83E9A"/>
    <w:rsid w:val="00C8415C"/>
    <w:rsid w:val="00C842DB"/>
    <w:rsid w:val="00C84625"/>
    <w:rsid w:val="00C8471D"/>
    <w:rsid w:val="00C84ECC"/>
    <w:rsid w:val="00C85636"/>
    <w:rsid w:val="00C8584B"/>
    <w:rsid w:val="00C85F3D"/>
    <w:rsid w:val="00C86490"/>
    <w:rsid w:val="00C87795"/>
    <w:rsid w:val="00C87BD6"/>
    <w:rsid w:val="00C9028A"/>
    <w:rsid w:val="00C9036D"/>
    <w:rsid w:val="00C90D23"/>
    <w:rsid w:val="00C9125C"/>
    <w:rsid w:val="00C91524"/>
    <w:rsid w:val="00C91780"/>
    <w:rsid w:val="00C91BD9"/>
    <w:rsid w:val="00C935D8"/>
    <w:rsid w:val="00C939BB"/>
    <w:rsid w:val="00C93B82"/>
    <w:rsid w:val="00C94538"/>
    <w:rsid w:val="00C94DAF"/>
    <w:rsid w:val="00C94E79"/>
    <w:rsid w:val="00C94FBC"/>
    <w:rsid w:val="00C9571E"/>
    <w:rsid w:val="00C95D45"/>
    <w:rsid w:val="00C95F06"/>
    <w:rsid w:val="00C96D62"/>
    <w:rsid w:val="00C9712D"/>
    <w:rsid w:val="00C973E8"/>
    <w:rsid w:val="00C97A39"/>
    <w:rsid w:val="00C97C71"/>
    <w:rsid w:val="00C97E1D"/>
    <w:rsid w:val="00CA05CA"/>
    <w:rsid w:val="00CA0CD0"/>
    <w:rsid w:val="00CA0F3F"/>
    <w:rsid w:val="00CA0F5D"/>
    <w:rsid w:val="00CA0FBF"/>
    <w:rsid w:val="00CA1215"/>
    <w:rsid w:val="00CA1444"/>
    <w:rsid w:val="00CA14ED"/>
    <w:rsid w:val="00CA18DA"/>
    <w:rsid w:val="00CA1E08"/>
    <w:rsid w:val="00CA2076"/>
    <w:rsid w:val="00CA21E6"/>
    <w:rsid w:val="00CA22ED"/>
    <w:rsid w:val="00CA2FD2"/>
    <w:rsid w:val="00CA3619"/>
    <w:rsid w:val="00CA3F60"/>
    <w:rsid w:val="00CA449C"/>
    <w:rsid w:val="00CA5138"/>
    <w:rsid w:val="00CA525E"/>
    <w:rsid w:val="00CA55AC"/>
    <w:rsid w:val="00CA5CFA"/>
    <w:rsid w:val="00CA5FE7"/>
    <w:rsid w:val="00CA611B"/>
    <w:rsid w:val="00CA643C"/>
    <w:rsid w:val="00CA6477"/>
    <w:rsid w:val="00CA68D8"/>
    <w:rsid w:val="00CA6A70"/>
    <w:rsid w:val="00CA6AD2"/>
    <w:rsid w:val="00CA6C6A"/>
    <w:rsid w:val="00CA6DCF"/>
    <w:rsid w:val="00CA7FA7"/>
    <w:rsid w:val="00CB00CF"/>
    <w:rsid w:val="00CB0333"/>
    <w:rsid w:val="00CB09AC"/>
    <w:rsid w:val="00CB0F10"/>
    <w:rsid w:val="00CB1B71"/>
    <w:rsid w:val="00CB1D08"/>
    <w:rsid w:val="00CB38D1"/>
    <w:rsid w:val="00CB3D9E"/>
    <w:rsid w:val="00CB4672"/>
    <w:rsid w:val="00CB4845"/>
    <w:rsid w:val="00CB59CE"/>
    <w:rsid w:val="00CB5FD0"/>
    <w:rsid w:val="00CB7178"/>
    <w:rsid w:val="00CB7233"/>
    <w:rsid w:val="00CB741F"/>
    <w:rsid w:val="00CB7510"/>
    <w:rsid w:val="00CB7A8E"/>
    <w:rsid w:val="00CC0048"/>
    <w:rsid w:val="00CC033D"/>
    <w:rsid w:val="00CC0B43"/>
    <w:rsid w:val="00CC1CDA"/>
    <w:rsid w:val="00CC25A7"/>
    <w:rsid w:val="00CC29EA"/>
    <w:rsid w:val="00CC2C1D"/>
    <w:rsid w:val="00CC3895"/>
    <w:rsid w:val="00CC3B4F"/>
    <w:rsid w:val="00CC3ECC"/>
    <w:rsid w:val="00CC486B"/>
    <w:rsid w:val="00CC4C2B"/>
    <w:rsid w:val="00CC4C71"/>
    <w:rsid w:val="00CC4FA9"/>
    <w:rsid w:val="00CC5095"/>
    <w:rsid w:val="00CC51AF"/>
    <w:rsid w:val="00CC528F"/>
    <w:rsid w:val="00CC5C70"/>
    <w:rsid w:val="00CC5C78"/>
    <w:rsid w:val="00CC61C4"/>
    <w:rsid w:val="00CC6296"/>
    <w:rsid w:val="00CC67D0"/>
    <w:rsid w:val="00CC6C4D"/>
    <w:rsid w:val="00CC6C55"/>
    <w:rsid w:val="00CC72F6"/>
    <w:rsid w:val="00CC7486"/>
    <w:rsid w:val="00CC7842"/>
    <w:rsid w:val="00CC79AE"/>
    <w:rsid w:val="00CD016C"/>
    <w:rsid w:val="00CD04C8"/>
    <w:rsid w:val="00CD0D68"/>
    <w:rsid w:val="00CD1021"/>
    <w:rsid w:val="00CD10CC"/>
    <w:rsid w:val="00CD1C81"/>
    <w:rsid w:val="00CD207B"/>
    <w:rsid w:val="00CD211A"/>
    <w:rsid w:val="00CD2510"/>
    <w:rsid w:val="00CD2A38"/>
    <w:rsid w:val="00CD2A61"/>
    <w:rsid w:val="00CD360E"/>
    <w:rsid w:val="00CD390C"/>
    <w:rsid w:val="00CD3B6D"/>
    <w:rsid w:val="00CD42BD"/>
    <w:rsid w:val="00CD443A"/>
    <w:rsid w:val="00CD4CC2"/>
    <w:rsid w:val="00CD50F7"/>
    <w:rsid w:val="00CD53B2"/>
    <w:rsid w:val="00CD54F2"/>
    <w:rsid w:val="00CD5F14"/>
    <w:rsid w:val="00CD6A80"/>
    <w:rsid w:val="00CD7321"/>
    <w:rsid w:val="00CD7523"/>
    <w:rsid w:val="00CD775B"/>
    <w:rsid w:val="00CD780A"/>
    <w:rsid w:val="00CD7820"/>
    <w:rsid w:val="00CD788E"/>
    <w:rsid w:val="00CD7D72"/>
    <w:rsid w:val="00CE0882"/>
    <w:rsid w:val="00CE09F7"/>
    <w:rsid w:val="00CE1007"/>
    <w:rsid w:val="00CE1613"/>
    <w:rsid w:val="00CE1992"/>
    <w:rsid w:val="00CE1AED"/>
    <w:rsid w:val="00CE20B0"/>
    <w:rsid w:val="00CE228F"/>
    <w:rsid w:val="00CE2C5C"/>
    <w:rsid w:val="00CE3135"/>
    <w:rsid w:val="00CE3A47"/>
    <w:rsid w:val="00CE3DF4"/>
    <w:rsid w:val="00CE42DD"/>
    <w:rsid w:val="00CE44FC"/>
    <w:rsid w:val="00CE4558"/>
    <w:rsid w:val="00CE46C8"/>
    <w:rsid w:val="00CE4E76"/>
    <w:rsid w:val="00CE527A"/>
    <w:rsid w:val="00CE5608"/>
    <w:rsid w:val="00CE59C1"/>
    <w:rsid w:val="00CE602A"/>
    <w:rsid w:val="00CE62EA"/>
    <w:rsid w:val="00CE6F75"/>
    <w:rsid w:val="00CE726F"/>
    <w:rsid w:val="00CE7756"/>
    <w:rsid w:val="00CE77C2"/>
    <w:rsid w:val="00CE7C50"/>
    <w:rsid w:val="00CE7CEB"/>
    <w:rsid w:val="00CF0CE2"/>
    <w:rsid w:val="00CF0D9B"/>
    <w:rsid w:val="00CF0E30"/>
    <w:rsid w:val="00CF15D2"/>
    <w:rsid w:val="00CF2979"/>
    <w:rsid w:val="00CF2BD2"/>
    <w:rsid w:val="00CF2D85"/>
    <w:rsid w:val="00CF2DC3"/>
    <w:rsid w:val="00CF325A"/>
    <w:rsid w:val="00CF3364"/>
    <w:rsid w:val="00CF3B68"/>
    <w:rsid w:val="00CF3F49"/>
    <w:rsid w:val="00CF4128"/>
    <w:rsid w:val="00CF4A44"/>
    <w:rsid w:val="00CF5006"/>
    <w:rsid w:val="00CF52B5"/>
    <w:rsid w:val="00CF5314"/>
    <w:rsid w:val="00CF634C"/>
    <w:rsid w:val="00CF678B"/>
    <w:rsid w:val="00CF6C41"/>
    <w:rsid w:val="00CF6D4A"/>
    <w:rsid w:val="00CF73AF"/>
    <w:rsid w:val="00D000E4"/>
    <w:rsid w:val="00D001D0"/>
    <w:rsid w:val="00D0033E"/>
    <w:rsid w:val="00D009A9"/>
    <w:rsid w:val="00D00FF3"/>
    <w:rsid w:val="00D0149F"/>
    <w:rsid w:val="00D024DD"/>
    <w:rsid w:val="00D0263F"/>
    <w:rsid w:val="00D02ADC"/>
    <w:rsid w:val="00D02C25"/>
    <w:rsid w:val="00D02FDE"/>
    <w:rsid w:val="00D03126"/>
    <w:rsid w:val="00D034C1"/>
    <w:rsid w:val="00D0385C"/>
    <w:rsid w:val="00D03C4E"/>
    <w:rsid w:val="00D03DCE"/>
    <w:rsid w:val="00D041C9"/>
    <w:rsid w:val="00D043DE"/>
    <w:rsid w:val="00D0441B"/>
    <w:rsid w:val="00D045D5"/>
    <w:rsid w:val="00D04701"/>
    <w:rsid w:val="00D049A2"/>
    <w:rsid w:val="00D04E67"/>
    <w:rsid w:val="00D0532C"/>
    <w:rsid w:val="00D0534A"/>
    <w:rsid w:val="00D05412"/>
    <w:rsid w:val="00D05931"/>
    <w:rsid w:val="00D0628D"/>
    <w:rsid w:val="00D06DAA"/>
    <w:rsid w:val="00D06E2D"/>
    <w:rsid w:val="00D072D1"/>
    <w:rsid w:val="00D10117"/>
    <w:rsid w:val="00D101D8"/>
    <w:rsid w:val="00D10591"/>
    <w:rsid w:val="00D105BC"/>
    <w:rsid w:val="00D1084E"/>
    <w:rsid w:val="00D1181C"/>
    <w:rsid w:val="00D1184B"/>
    <w:rsid w:val="00D11F71"/>
    <w:rsid w:val="00D125F1"/>
    <w:rsid w:val="00D1264E"/>
    <w:rsid w:val="00D13015"/>
    <w:rsid w:val="00D1369C"/>
    <w:rsid w:val="00D13764"/>
    <w:rsid w:val="00D145ED"/>
    <w:rsid w:val="00D164C3"/>
    <w:rsid w:val="00D1745B"/>
    <w:rsid w:val="00D17536"/>
    <w:rsid w:val="00D20358"/>
    <w:rsid w:val="00D203F3"/>
    <w:rsid w:val="00D20CE2"/>
    <w:rsid w:val="00D20EED"/>
    <w:rsid w:val="00D21323"/>
    <w:rsid w:val="00D214D6"/>
    <w:rsid w:val="00D218F6"/>
    <w:rsid w:val="00D2209B"/>
    <w:rsid w:val="00D22247"/>
    <w:rsid w:val="00D23C4D"/>
    <w:rsid w:val="00D24161"/>
    <w:rsid w:val="00D24D36"/>
    <w:rsid w:val="00D2563D"/>
    <w:rsid w:val="00D25CC0"/>
    <w:rsid w:val="00D261C9"/>
    <w:rsid w:val="00D26634"/>
    <w:rsid w:val="00D266BF"/>
    <w:rsid w:val="00D269D9"/>
    <w:rsid w:val="00D269E9"/>
    <w:rsid w:val="00D26CBB"/>
    <w:rsid w:val="00D273E0"/>
    <w:rsid w:val="00D274A1"/>
    <w:rsid w:val="00D27E95"/>
    <w:rsid w:val="00D30260"/>
    <w:rsid w:val="00D3049B"/>
    <w:rsid w:val="00D30705"/>
    <w:rsid w:val="00D309F8"/>
    <w:rsid w:val="00D31476"/>
    <w:rsid w:val="00D3154B"/>
    <w:rsid w:val="00D31555"/>
    <w:rsid w:val="00D315F8"/>
    <w:rsid w:val="00D31A05"/>
    <w:rsid w:val="00D31CCA"/>
    <w:rsid w:val="00D31EE1"/>
    <w:rsid w:val="00D31FA6"/>
    <w:rsid w:val="00D32168"/>
    <w:rsid w:val="00D3248D"/>
    <w:rsid w:val="00D33109"/>
    <w:rsid w:val="00D3507C"/>
    <w:rsid w:val="00D35966"/>
    <w:rsid w:val="00D35A4A"/>
    <w:rsid w:val="00D35ADF"/>
    <w:rsid w:val="00D35B08"/>
    <w:rsid w:val="00D35CA7"/>
    <w:rsid w:val="00D36720"/>
    <w:rsid w:val="00D367D7"/>
    <w:rsid w:val="00D3746F"/>
    <w:rsid w:val="00D401FE"/>
    <w:rsid w:val="00D4059F"/>
    <w:rsid w:val="00D40D13"/>
    <w:rsid w:val="00D42F79"/>
    <w:rsid w:val="00D43D90"/>
    <w:rsid w:val="00D44089"/>
    <w:rsid w:val="00D442D0"/>
    <w:rsid w:val="00D44398"/>
    <w:rsid w:val="00D4450A"/>
    <w:rsid w:val="00D45192"/>
    <w:rsid w:val="00D466BD"/>
    <w:rsid w:val="00D468D5"/>
    <w:rsid w:val="00D46D10"/>
    <w:rsid w:val="00D4713E"/>
    <w:rsid w:val="00D478E7"/>
    <w:rsid w:val="00D47D65"/>
    <w:rsid w:val="00D50FFF"/>
    <w:rsid w:val="00D51143"/>
    <w:rsid w:val="00D515B0"/>
    <w:rsid w:val="00D51DE7"/>
    <w:rsid w:val="00D5274A"/>
    <w:rsid w:val="00D52970"/>
    <w:rsid w:val="00D52EF3"/>
    <w:rsid w:val="00D534B9"/>
    <w:rsid w:val="00D535B1"/>
    <w:rsid w:val="00D536B8"/>
    <w:rsid w:val="00D53845"/>
    <w:rsid w:val="00D53CAF"/>
    <w:rsid w:val="00D53E9D"/>
    <w:rsid w:val="00D5419E"/>
    <w:rsid w:val="00D541FC"/>
    <w:rsid w:val="00D543BE"/>
    <w:rsid w:val="00D543CF"/>
    <w:rsid w:val="00D54EE3"/>
    <w:rsid w:val="00D5500A"/>
    <w:rsid w:val="00D55982"/>
    <w:rsid w:val="00D55DA3"/>
    <w:rsid w:val="00D5658B"/>
    <w:rsid w:val="00D56B11"/>
    <w:rsid w:val="00D56DBA"/>
    <w:rsid w:val="00D5750B"/>
    <w:rsid w:val="00D576A3"/>
    <w:rsid w:val="00D57DCD"/>
    <w:rsid w:val="00D57E57"/>
    <w:rsid w:val="00D60620"/>
    <w:rsid w:val="00D607A5"/>
    <w:rsid w:val="00D60860"/>
    <w:rsid w:val="00D60BC9"/>
    <w:rsid w:val="00D60D4F"/>
    <w:rsid w:val="00D61291"/>
    <w:rsid w:val="00D616B1"/>
    <w:rsid w:val="00D6188F"/>
    <w:rsid w:val="00D619F3"/>
    <w:rsid w:val="00D61D95"/>
    <w:rsid w:val="00D61E1A"/>
    <w:rsid w:val="00D61EE7"/>
    <w:rsid w:val="00D62487"/>
    <w:rsid w:val="00D62965"/>
    <w:rsid w:val="00D62BEC"/>
    <w:rsid w:val="00D6361F"/>
    <w:rsid w:val="00D63A53"/>
    <w:rsid w:val="00D6430D"/>
    <w:rsid w:val="00D644C2"/>
    <w:rsid w:val="00D64794"/>
    <w:rsid w:val="00D64AAE"/>
    <w:rsid w:val="00D64B49"/>
    <w:rsid w:val="00D651E8"/>
    <w:rsid w:val="00D65715"/>
    <w:rsid w:val="00D66215"/>
    <w:rsid w:val="00D66FAC"/>
    <w:rsid w:val="00D670B2"/>
    <w:rsid w:val="00D6780A"/>
    <w:rsid w:val="00D702B0"/>
    <w:rsid w:val="00D70434"/>
    <w:rsid w:val="00D70A61"/>
    <w:rsid w:val="00D70C51"/>
    <w:rsid w:val="00D71AC0"/>
    <w:rsid w:val="00D71B42"/>
    <w:rsid w:val="00D71BC3"/>
    <w:rsid w:val="00D71FDB"/>
    <w:rsid w:val="00D72150"/>
    <w:rsid w:val="00D72169"/>
    <w:rsid w:val="00D72A30"/>
    <w:rsid w:val="00D72C9E"/>
    <w:rsid w:val="00D72E77"/>
    <w:rsid w:val="00D73048"/>
    <w:rsid w:val="00D732F6"/>
    <w:rsid w:val="00D734C9"/>
    <w:rsid w:val="00D7375B"/>
    <w:rsid w:val="00D73918"/>
    <w:rsid w:val="00D73A95"/>
    <w:rsid w:val="00D73D68"/>
    <w:rsid w:val="00D73DC9"/>
    <w:rsid w:val="00D743D1"/>
    <w:rsid w:val="00D74B08"/>
    <w:rsid w:val="00D751DD"/>
    <w:rsid w:val="00D754D8"/>
    <w:rsid w:val="00D75B46"/>
    <w:rsid w:val="00D75B92"/>
    <w:rsid w:val="00D76324"/>
    <w:rsid w:val="00D76F9D"/>
    <w:rsid w:val="00D77795"/>
    <w:rsid w:val="00D77C66"/>
    <w:rsid w:val="00D77C86"/>
    <w:rsid w:val="00D77FE0"/>
    <w:rsid w:val="00D80591"/>
    <w:rsid w:val="00D809E9"/>
    <w:rsid w:val="00D80FB4"/>
    <w:rsid w:val="00D81106"/>
    <w:rsid w:val="00D81CA5"/>
    <w:rsid w:val="00D82318"/>
    <w:rsid w:val="00D82D48"/>
    <w:rsid w:val="00D82DA7"/>
    <w:rsid w:val="00D83108"/>
    <w:rsid w:val="00D8390D"/>
    <w:rsid w:val="00D83B40"/>
    <w:rsid w:val="00D84427"/>
    <w:rsid w:val="00D8454F"/>
    <w:rsid w:val="00D84963"/>
    <w:rsid w:val="00D84A40"/>
    <w:rsid w:val="00D84DDD"/>
    <w:rsid w:val="00D852B1"/>
    <w:rsid w:val="00D85388"/>
    <w:rsid w:val="00D85485"/>
    <w:rsid w:val="00D85953"/>
    <w:rsid w:val="00D85C23"/>
    <w:rsid w:val="00D86288"/>
    <w:rsid w:val="00D86478"/>
    <w:rsid w:val="00D8679D"/>
    <w:rsid w:val="00D867F5"/>
    <w:rsid w:val="00D86B97"/>
    <w:rsid w:val="00D86FBF"/>
    <w:rsid w:val="00D87557"/>
    <w:rsid w:val="00D87958"/>
    <w:rsid w:val="00D901EC"/>
    <w:rsid w:val="00D90312"/>
    <w:rsid w:val="00D9050B"/>
    <w:rsid w:val="00D90B7B"/>
    <w:rsid w:val="00D918CC"/>
    <w:rsid w:val="00D919E5"/>
    <w:rsid w:val="00D91C80"/>
    <w:rsid w:val="00D91EDE"/>
    <w:rsid w:val="00D91F14"/>
    <w:rsid w:val="00D91F24"/>
    <w:rsid w:val="00D9222E"/>
    <w:rsid w:val="00D92320"/>
    <w:rsid w:val="00D9260B"/>
    <w:rsid w:val="00D93520"/>
    <w:rsid w:val="00D937A2"/>
    <w:rsid w:val="00D93856"/>
    <w:rsid w:val="00D93BE5"/>
    <w:rsid w:val="00D94E1E"/>
    <w:rsid w:val="00D94FD6"/>
    <w:rsid w:val="00D9577B"/>
    <w:rsid w:val="00D9589E"/>
    <w:rsid w:val="00D96712"/>
    <w:rsid w:val="00D968EA"/>
    <w:rsid w:val="00D96EB8"/>
    <w:rsid w:val="00D974FD"/>
    <w:rsid w:val="00D97968"/>
    <w:rsid w:val="00D97F17"/>
    <w:rsid w:val="00DA04D3"/>
    <w:rsid w:val="00DA08FF"/>
    <w:rsid w:val="00DA0BB3"/>
    <w:rsid w:val="00DA0E55"/>
    <w:rsid w:val="00DA1343"/>
    <w:rsid w:val="00DA13BE"/>
    <w:rsid w:val="00DA1972"/>
    <w:rsid w:val="00DA211E"/>
    <w:rsid w:val="00DA2C1C"/>
    <w:rsid w:val="00DA3BD5"/>
    <w:rsid w:val="00DA3E8D"/>
    <w:rsid w:val="00DA4E98"/>
    <w:rsid w:val="00DA52FD"/>
    <w:rsid w:val="00DA58B8"/>
    <w:rsid w:val="00DA5929"/>
    <w:rsid w:val="00DA5DCE"/>
    <w:rsid w:val="00DA67BB"/>
    <w:rsid w:val="00DA67D6"/>
    <w:rsid w:val="00DA73FE"/>
    <w:rsid w:val="00DA759A"/>
    <w:rsid w:val="00DA7685"/>
    <w:rsid w:val="00DA79ED"/>
    <w:rsid w:val="00DA7A18"/>
    <w:rsid w:val="00DB0444"/>
    <w:rsid w:val="00DB07C8"/>
    <w:rsid w:val="00DB0D4E"/>
    <w:rsid w:val="00DB11F5"/>
    <w:rsid w:val="00DB174D"/>
    <w:rsid w:val="00DB3CB2"/>
    <w:rsid w:val="00DB465B"/>
    <w:rsid w:val="00DB48B5"/>
    <w:rsid w:val="00DB4A8E"/>
    <w:rsid w:val="00DB53E9"/>
    <w:rsid w:val="00DB5939"/>
    <w:rsid w:val="00DB5CD0"/>
    <w:rsid w:val="00DB5CEA"/>
    <w:rsid w:val="00DB5FE4"/>
    <w:rsid w:val="00DB60E7"/>
    <w:rsid w:val="00DB69C1"/>
    <w:rsid w:val="00DB74D8"/>
    <w:rsid w:val="00DB782E"/>
    <w:rsid w:val="00DB7EE0"/>
    <w:rsid w:val="00DC022C"/>
    <w:rsid w:val="00DC0344"/>
    <w:rsid w:val="00DC0650"/>
    <w:rsid w:val="00DC0C13"/>
    <w:rsid w:val="00DC0DCB"/>
    <w:rsid w:val="00DC1877"/>
    <w:rsid w:val="00DC1AC8"/>
    <w:rsid w:val="00DC1E8B"/>
    <w:rsid w:val="00DC21CE"/>
    <w:rsid w:val="00DC2565"/>
    <w:rsid w:val="00DC2954"/>
    <w:rsid w:val="00DC33FA"/>
    <w:rsid w:val="00DC4B9F"/>
    <w:rsid w:val="00DC571F"/>
    <w:rsid w:val="00DC6489"/>
    <w:rsid w:val="00DC7154"/>
    <w:rsid w:val="00DC7479"/>
    <w:rsid w:val="00DC756F"/>
    <w:rsid w:val="00DC7AFF"/>
    <w:rsid w:val="00DC7C32"/>
    <w:rsid w:val="00DC7CCE"/>
    <w:rsid w:val="00DC7F14"/>
    <w:rsid w:val="00DC7F1C"/>
    <w:rsid w:val="00DC7F23"/>
    <w:rsid w:val="00DC7F39"/>
    <w:rsid w:val="00DD00E4"/>
    <w:rsid w:val="00DD06DE"/>
    <w:rsid w:val="00DD11E1"/>
    <w:rsid w:val="00DD12F4"/>
    <w:rsid w:val="00DD15B2"/>
    <w:rsid w:val="00DD1B3D"/>
    <w:rsid w:val="00DD2B3B"/>
    <w:rsid w:val="00DD3031"/>
    <w:rsid w:val="00DD3079"/>
    <w:rsid w:val="00DD3C31"/>
    <w:rsid w:val="00DD3F4E"/>
    <w:rsid w:val="00DD40C1"/>
    <w:rsid w:val="00DD509B"/>
    <w:rsid w:val="00DD5CF3"/>
    <w:rsid w:val="00DD6898"/>
    <w:rsid w:val="00DD7134"/>
    <w:rsid w:val="00DD7181"/>
    <w:rsid w:val="00DD7546"/>
    <w:rsid w:val="00DD7A98"/>
    <w:rsid w:val="00DD7D11"/>
    <w:rsid w:val="00DD7E2F"/>
    <w:rsid w:val="00DE01EC"/>
    <w:rsid w:val="00DE06D9"/>
    <w:rsid w:val="00DE1371"/>
    <w:rsid w:val="00DE142B"/>
    <w:rsid w:val="00DE1773"/>
    <w:rsid w:val="00DE1F7D"/>
    <w:rsid w:val="00DE26D2"/>
    <w:rsid w:val="00DE29AA"/>
    <w:rsid w:val="00DE2DA8"/>
    <w:rsid w:val="00DE2E90"/>
    <w:rsid w:val="00DE30D8"/>
    <w:rsid w:val="00DE38B4"/>
    <w:rsid w:val="00DE3B13"/>
    <w:rsid w:val="00DE3C9D"/>
    <w:rsid w:val="00DE3D92"/>
    <w:rsid w:val="00DE50DA"/>
    <w:rsid w:val="00DE51FB"/>
    <w:rsid w:val="00DE5A5C"/>
    <w:rsid w:val="00DE5B15"/>
    <w:rsid w:val="00DE5DB8"/>
    <w:rsid w:val="00DE5E40"/>
    <w:rsid w:val="00DE5F5E"/>
    <w:rsid w:val="00DE6144"/>
    <w:rsid w:val="00DE6F82"/>
    <w:rsid w:val="00DE71C3"/>
    <w:rsid w:val="00DE71FE"/>
    <w:rsid w:val="00DE7376"/>
    <w:rsid w:val="00DE76CA"/>
    <w:rsid w:val="00DE7D9C"/>
    <w:rsid w:val="00DE7DAF"/>
    <w:rsid w:val="00DE7EB9"/>
    <w:rsid w:val="00DF0577"/>
    <w:rsid w:val="00DF0596"/>
    <w:rsid w:val="00DF0675"/>
    <w:rsid w:val="00DF0944"/>
    <w:rsid w:val="00DF0D18"/>
    <w:rsid w:val="00DF106C"/>
    <w:rsid w:val="00DF12C1"/>
    <w:rsid w:val="00DF1327"/>
    <w:rsid w:val="00DF13C0"/>
    <w:rsid w:val="00DF2202"/>
    <w:rsid w:val="00DF237E"/>
    <w:rsid w:val="00DF28CA"/>
    <w:rsid w:val="00DF2FCF"/>
    <w:rsid w:val="00DF347D"/>
    <w:rsid w:val="00DF3499"/>
    <w:rsid w:val="00DF390A"/>
    <w:rsid w:val="00DF427B"/>
    <w:rsid w:val="00DF53A5"/>
    <w:rsid w:val="00DF5FE4"/>
    <w:rsid w:val="00DF6210"/>
    <w:rsid w:val="00DF671B"/>
    <w:rsid w:val="00DF6AAE"/>
    <w:rsid w:val="00DF6BCE"/>
    <w:rsid w:val="00DF6ED1"/>
    <w:rsid w:val="00DF6FE8"/>
    <w:rsid w:val="00DF7040"/>
    <w:rsid w:val="00DF70D5"/>
    <w:rsid w:val="00DF72AF"/>
    <w:rsid w:val="00DF72DB"/>
    <w:rsid w:val="00DF744C"/>
    <w:rsid w:val="00DF79BA"/>
    <w:rsid w:val="00E00354"/>
    <w:rsid w:val="00E003BD"/>
    <w:rsid w:val="00E0202F"/>
    <w:rsid w:val="00E023BB"/>
    <w:rsid w:val="00E023DC"/>
    <w:rsid w:val="00E0254B"/>
    <w:rsid w:val="00E025CF"/>
    <w:rsid w:val="00E0287C"/>
    <w:rsid w:val="00E02CF9"/>
    <w:rsid w:val="00E0358D"/>
    <w:rsid w:val="00E03FCD"/>
    <w:rsid w:val="00E04019"/>
    <w:rsid w:val="00E0403D"/>
    <w:rsid w:val="00E0447C"/>
    <w:rsid w:val="00E04896"/>
    <w:rsid w:val="00E04BDC"/>
    <w:rsid w:val="00E04C46"/>
    <w:rsid w:val="00E05D38"/>
    <w:rsid w:val="00E065B7"/>
    <w:rsid w:val="00E072CB"/>
    <w:rsid w:val="00E076B0"/>
    <w:rsid w:val="00E07D1A"/>
    <w:rsid w:val="00E11332"/>
    <w:rsid w:val="00E11D3C"/>
    <w:rsid w:val="00E11DF9"/>
    <w:rsid w:val="00E1222D"/>
    <w:rsid w:val="00E1268C"/>
    <w:rsid w:val="00E13221"/>
    <w:rsid w:val="00E133E0"/>
    <w:rsid w:val="00E134E5"/>
    <w:rsid w:val="00E13EB6"/>
    <w:rsid w:val="00E143C4"/>
    <w:rsid w:val="00E1448F"/>
    <w:rsid w:val="00E14583"/>
    <w:rsid w:val="00E14C14"/>
    <w:rsid w:val="00E14CC8"/>
    <w:rsid w:val="00E14FA0"/>
    <w:rsid w:val="00E153BB"/>
    <w:rsid w:val="00E1566E"/>
    <w:rsid w:val="00E15AE6"/>
    <w:rsid w:val="00E16371"/>
    <w:rsid w:val="00E16800"/>
    <w:rsid w:val="00E16E84"/>
    <w:rsid w:val="00E175EC"/>
    <w:rsid w:val="00E17995"/>
    <w:rsid w:val="00E179F2"/>
    <w:rsid w:val="00E17D4C"/>
    <w:rsid w:val="00E17E4B"/>
    <w:rsid w:val="00E20AF0"/>
    <w:rsid w:val="00E2123C"/>
    <w:rsid w:val="00E21556"/>
    <w:rsid w:val="00E21BA0"/>
    <w:rsid w:val="00E21C54"/>
    <w:rsid w:val="00E21D3C"/>
    <w:rsid w:val="00E21DC2"/>
    <w:rsid w:val="00E21F95"/>
    <w:rsid w:val="00E2212C"/>
    <w:rsid w:val="00E22408"/>
    <w:rsid w:val="00E225B4"/>
    <w:rsid w:val="00E23926"/>
    <w:rsid w:val="00E24E92"/>
    <w:rsid w:val="00E26626"/>
    <w:rsid w:val="00E26780"/>
    <w:rsid w:val="00E270CA"/>
    <w:rsid w:val="00E31394"/>
    <w:rsid w:val="00E31609"/>
    <w:rsid w:val="00E31F16"/>
    <w:rsid w:val="00E32B33"/>
    <w:rsid w:val="00E32D0E"/>
    <w:rsid w:val="00E332CC"/>
    <w:rsid w:val="00E33440"/>
    <w:rsid w:val="00E336CE"/>
    <w:rsid w:val="00E342A5"/>
    <w:rsid w:val="00E345F7"/>
    <w:rsid w:val="00E346C8"/>
    <w:rsid w:val="00E3480A"/>
    <w:rsid w:val="00E35C48"/>
    <w:rsid w:val="00E35F17"/>
    <w:rsid w:val="00E366A7"/>
    <w:rsid w:val="00E376FC"/>
    <w:rsid w:val="00E3795E"/>
    <w:rsid w:val="00E37F62"/>
    <w:rsid w:val="00E37FC6"/>
    <w:rsid w:val="00E40260"/>
    <w:rsid w:val="00E40381"/>
    <w:rsid w:val="00E40C75"/>
    <w:rsid w:val="00E40DB1"/>
    <w:rsid w:val="00E411D9"/>
    <w:rsid w:val="00E41714"/>
    <w:rsid w:val="00E4187F"/>
    <w:rsid w:val="00E41B4B"/>
    <w:rsid w:val="00E41F97"/>
    <w:rsid w:val="00E423D1"/>
    <w:rsid w:val="00E424A8"/>
    <w:rsid w:val="00E4293C"/>
    <w:rsid w:val="00E429C7"/>
    <w:rsid w:val="00E42EF6"/>
    <w:rsid w:val="00E43B8D"/>
    <w:rsid w:val="00E44401"/>
    <w:rsid w:val="00E4445B"/>
    <w:rsid w:val="00E44731"/>
    <w:rsid w:val="00E44A30"/>
    <w:rsid w:val="00E45249"/>
    <w:rsid w:val="00E4534E"/>
    <w:rsid w:val="00E45AC4"/>
    <w:rsid w:val="00E45D94"/>
    <w:rsid w:val="00E45D9A"/>
    <w:rsid w:val="00E46248"/>
    <w:rsid w:val="00E462EA"/>
    <w:rsid w:val="00E46484"/>
    <w:rsid w:val="00E464D3"/>
    <w:rsid w:val="00E469C4"/>
    <w:rsid w:val="00E46B11"/>
    <w:rsid w:val="00E46D74"/>
    <w:rsid w:val="00E4702B"/>
    <w:rsid w:val="00E479A3"/>
    <w:rsid w:val="00E47EDF"/>
    <w:rsid w:val="00E505A6"/>
    <w:rsid w:val="00E50C9B"/>
    <w:rsid w:val="00E51BE0"/>
    <w:rsid w:val="00E52164"/>
    <w:rsid w:val="00E5222A"/>
    <w:rsid w:val="00E5244B"/>
    <w:rsid w:val="00E524F8"/>
    <w:rsid w:val="00E526A9"/>
    <w:rsid w:val="00E52844"/>
    <w:rsid w:val="00E52A94"/>
    <w:rsid w:val="00E52E07"/>
    <w:rsid w:val="00E52E59"/>
    <w:rsid w:val="00E52F32"/>
    <w:rsid w:val="00E532CA"/>
    <w:rsid w:val="00E538EE"/>
    <w:rsid w:val="00E539C0"/>
    <w:rsid w:val="00E53D13"/>
    <w:rsid w:val="00E5407B"/>
    <w:rsid w:val="00E5432F"/>
    <w:rsid w:val="00E54789"/>
    <w:rsid w:val="00E54881"/>
    <w:rsid w:val="00E54A55"/>
    <w:rsid w:val="00E54A92"/>
    <w:rsid w:val="00E54D85"/>
    <w:rsid w:val="00E54DF9"/>
    <w:rsid w:val="00E54E21"/>
    <w:rsid w:val="00E54F32"/>
    <w:rsid w:val="00E55022"/>
    <w:rsid w:val="00E55508"/>
    <w:rsid w:val="00E556B8"/>
    <w:rsid w:val="00E55A38"/>
    <w:rsid w:val="00E55F8E"/>
    <w:rsid w:val="00E560CC"/>
    <w:rsid w:val="00E5665B"/>
    <w:rsid w:val="00E5670E"/>
    <w:rsid w:val="00E579F4"/>
    <w:rsid w:val="00E57F7F"/>
    <w:rsid w:val="00E60AC6"/>
    <w:rsid w:val="00E60D06"/>
    <w:rsid w:val="00E60EA3"/>
    <w:rsid w:val="00E60F5B"/>
    <w:rsid w:val="00E6275F"/>
    <w:rsid w:val="00E62A36"/>
    <w:rsid w:val="00E62C59"/>
    <w:rsid w:val="00E62E19"/>
    <w:rsid w:val="00E63158"/>
    <w:rsid w:val="00E633D1"/>
    <w:rsid w:val="00E63A62"/>
    <w:rsid w:val="00E644B0"/>
    <w:rsid w:val="00E6514A"/>
    <w:rsid w:val="00E652E6"/>
    <w:rsid w:val="00E65AE8"/>
    <w:rsid w:val="00E65C6F"/>
    <w:rsid w:val="00E65E98"/>
    <w:rsid w:val="00E6621A"/>
    <w:rsid w:val="00E66C15"/>
    <w:rsid w:val="00E673B9"/>
    <w:rsid w:val="00E674AA"/>
    <w:rsid w:val="00E6756C"/>
    <w:rsid w:val="00E67F4D"/>
    <w:rsid w:val="00E67FA1"/>
    <w:rsid w:val="00E70003"/>
    <w:rsid w:val="00E700E0"/>
    <w:rsid w:val="00E702C1"/>
    <w:rsid w:val="00E7078A"/>
    <w:rsid w:val="00E7081F"/>
    <w:rsid w:val="00E710F1"/>
    <w:rsid w:val="00E712E2"/>
    <w:rsid w:val="00E71ABF"/>
    <w:rsid w:val="00E71ACB"/>
    <w:rsid w:val="00E71D37"/>
    <w:rsid w:val="00E71F97"/>
    <w:rsid w:val="00E72767"/>
    <w:rsid w:val="00E72F49"/>
    <w:rsid w:val="00E73286"/>
    <w:rsid w:val="00E73741"/>
    <w:rsid w:val="00E73C77"/>
    <w:rsid w:val="00E74051"/>
    <w:rsid w:val="00E7450F"/>
    <w:rsid w:val="00E757E6"/>
    <w:rsid w:val="00E7641C"/>
    <w:rsid w:val="00E76A37"/>
    <w:rsid w:val="00E778FA"/>
    <w:rsid w:val="00E77976"/>
    <w:rsid w:val="00E80A49"/>
    <w:rsid w:val="00E81465"/>
    <w:rsid w:val="00E81855"/>
    <w:rsid w:val="00E81E2B"/>
    <w:rsid w:val="00E82290"/>
    <w:rsid w:val="00E82414"/>
    <w:rsid w:val="00E82507"/>
    <w:rsid w:val="00E8259E"/>
    <w:rsid w:val="00E82F97"/>
    <w:rsid w:val="00E8303A"/>
    <w:rsid w:val="00E83284"/>
    <w:rsid w:val="00E834D3"/>
    <w:rsid w:val="00E83940"/>
    <w:rsid w:val="00E83CCC"/>
    <w:rsid w:val="00E85159"/>
    <w:rsid w:val="00E85326"/>
    <w:rsid w:val="00E85745"/>
    <w:rsid w:val="00E858CB"/>
    <w:rsid w:val="00E864D6"/>
    <w:rsid w:val="00E867AC"/>
    <w:rsid w:val="00E86B82"/>
    <w:rsid w:val="00E87286"/>
    <w:rsid w:val="00E87893"/>
    <w:rsid w:val="00E90001"/>
    <w:rsid w:val="00E9008B"/>
    <w:rsid w:val="00E902F0"/>
    <w:rsid w:val="00E90765"/>
    <w:rsid w:val="00E90C76"/>
    <w:rsid w:val="00E911DE"/>
    <w:rsid w:val="00E913DE"/>
    <w:rsid w:val="00E9144D"/>
    <w:rsid w:val="00E918BC"/>
    <w:rsid w:val="00E919A9"/>
    <w:rsid w:val="00E927B2"/>
    <w:rsid w:val="00E92AB6"/>
    <w:rsid w:val="00E92B96"/>
    <w:rsid w:val="00E9328E"/>
    <w:rsid w:val="00E933ED"/>
    <w:rsid w:val="00E93806"/>
    <w:rsid w:val="00E93EF9"/>
    <w:rsid w:val="00E94007"/>
    <w:rsid w:val="00E94C9B"/>
    <w:rsid w:val="00E953A4"/>
    <w:rsid w:val="00E955DE"/>
    <w:rsid w:val="00E95AA6"/>
    <w:rsid w:val="00E95B18"/>
    <w:rsid w:val="00E95CF9"/>
    <w:rsid w:val="00E96410"/>
    <w:rsid w:val="00E96D69"/>
    <w:rsid w:val="00EA0359"/>
    <w:rsid w:val="00EA04CB"/>
    <w:rsid w:val="00EA08CD"/>
    <w:rsid w:val="00EA1019"/>
    <w:rsid w:val="00EA11ED"/>
    <w:rsid w:val="00EA12BE"/>
    <w:rsid w:val="00EA13D8"/>
    <w:rsid w:val="00EA1975"/>
    <w:rsid w:val="00EA2133"/>
    <w:rsid w:val="00EA2B60"/>
    <w:rsid w:val="00EA2CA2"/>
    <w:rsid w:val="00EA2EAF"/>
    <w:rsid w:val="00EA3C6F"/>
    <w:rsid w:val="00EA3E83"/>
    <w:rsid w:val="00EA40C9"/>
    <w:rsid w:val="00EA410A"/>
    <w:rsid w:val="00EA41E1"/>
    <w:rsid w:val="00EA4B16"/>
    <w:rsid w:val="00EA4F79"/>
    <w:rsid w:val="00EA4FA7"/>
    <w:rsid w:val="00EA579F"/>
    <w:rsid w:val="00EA5C24"/>
    <w:rsid w:val="00EA5FB3"/>
    <w:rsid w:val="00EA6005"/>
    <w:rsid w:val="00EA70AA"/>
    <w:rsid w:val="00EA71D7"/>
    <w:rsid w:val="00EA7941"/>
    <w:rsid w:val="00EA7A1E"/>
    <w:rsid w:val="00EA7F3C"/>
    <w:rsid w:val="00EB057D"/>
    <w:rsid w:val="00EB05B9"/>
    <w:rsid w:val="00EB0D41"/>
    <w:rsid w:val="00EB1115"/>
    <w:rsid w:val="00EB136A"/>
    <w:rsid w:val="00EB1560"/>
    <w:rsid w:val="00EB19D5"/>
    <w:rsid w:val="00EB21C3"/>
    <w:rsid w:val="00EB2B42"/>
    <w:rsid w:val="00EB2ED4"/>
    <w:rsid w:val="00EB339C"/>
    <w:rsid w:val="00EB38C2"/>
    <w:rsid w:val="00EB3A46"/>
    <w:rsid w:val="00EB42C8"/>
    <w:rsid w:val="00EB42D1"/>
    <w:rsid w:val="00EB5205"/>
    <w:rsid w:val="00EB5F52"/>
    <w:rsid w:val="00EB611D"/>
    <w:rsid w:val="00EB615E"/>
    <w:rsid w:val="00EB6C36"/>
    <w:rsid w:val="00EB6C74"/>
    <w:rsid w:val="00EB6D99"/>
    <w:rsid w:val="00EB6FC5"/>
    <w:rsid w:val="00EB72D2"/>
    <w:rsid w:val="00EB75CE"/>
    <w:rsid w:val="00EB7979"/>
    <w:rsid w:val="00EB7B81"/>
    <w:rsid w:val="00EB7DAF"/>
    <w:rsid w:val="00EC01EA"/>
    <w:rsid w:val="00EC03B3"/>
    <w:rsid w:val="00EC0442"/>
    <w:rsid w:val="00EC0C05"/>
    <w:rsid w:val="00EC0CA6"/>
    <w:rsid w:val="00EC0F55"/>
    <w:rsid w:val="00EC16E3"/>
    <w:rsid w:val="00EC24F6"/>
    <w:rsid w:val="00EC296B"/>
    <w:rsid w:val="00EC2E02"/>
    <w:rsid w:val="00EC34B0"/>
    <w:rsid w:val="00EC427E"/>
    <w:rsid w:val="00EC44AB"/>
    <w:rsid w:val="00EC44DA"/>
    <w:rsid w:val="00EC480E"/>
    <w:rsid w:val="00EC4C19"/>
    <w:rsid w:val="00EC4E84"/>
    <w:rsid w:val="00EC503A"/>
    <w:rsid w:val="00EC5073"/>
    <w:rsid w:val="00EC58A2"/>
    <w:rsid w:val="00EC5B51"/>
    <w:rsid w:val="00EC644F"/>
    <w:rsid w:val="00EC66A0"/>
    <w:rsid w:val="00EC68C3"/>
    <w:rsid w:val="00EC6E7F"/>
    <w:rsid w:val="00EC74E3"/>
    <w:rsid w:val="00ED03EC"/>
    <w:rsid w:val="00ED04B3"/>
    <w:rsid w:val="00ED0CAA"/>
    <w:rsid w:val="00ED197B"/>
    <w:rsid w:val="00ED1C0E"/>
    <w:rsid w:val="00ED1DBE"/>
    <w:rsid w:val="00ED1F5C"/>
    <w:rsid w:val="00ED279C"/>
    <w:rsid w:val="00ED28B8"/>
    <w:rsid w:val="00ED2994"/>
    <w:rsid w:val="00ED2E28"/>
    <w:rsid w:val="00ED3391"/>
    <w:rsid w:val="00ED352F"/>
    <w:rsid w:val="00ED45CF"/>
    <w:rsid w:val="00ED4841"/>
    <w:rsid w:val="00ED4B86"/>
    <w:rsid w:val="00ED4F38"/>
    <w:rsid w:val="00ED50FF"/>
    <w:rsid w:val="00ED51DA"/>
    <w:rsid w:val="00ED5494"/>
    <w:rsid w:val="00ED5F62"/>
    <w:rsid w:val="00ED62BD"/>
    <w:rsid w:val="00ED6474"/>
    <w:rsid w:val="00ED6618"/>
    <w:rsid w:val="00ED676A"/>
    <w:rsid w:val="00ED6BB5"/>
    <w:rsid w:val="00ED72AC"/>
    <w:rsid w:val="00ED7999"/>
    <w:rsid w:val="00ED79BE"/>
    <w:rsid w:val="00ED7D04"/>
    <w:rsid w:val="00EE048A"/>
    <w:rsid w:val="00EE07A0"/>
    <w:rsid w:val="00EE08B3"/>
    <w:rsid w:val="00EE0DD0"/>
    <w:rsid w:val="00EE2E8F"/>
    <w:rsid w:val="00EE3034"/>
    <w:rsid w:val="00EE3184"/>
    <w:rsid w:val="00EE319B"/>
    <w:rsid w:val="00EE3899"/>
    <w:rsid w:val="00EE3C75"/>
    <w:rsid w:val="00EE3D67"/>
    <w:rsid w:val="00EE3FD7"/>
    <w:rsid w:val="00EE4768"/>
    <w:rsid w:val="00EE4C2E"/>
    <w:rsid w:val="00EE5CCE"/>
    <w:rsid w:val="00EE5E31"/>
    <w:rsid w:val="00EE5EA6"/>
    <w:rsid w:val="00EE5F9E"/>
    <w:rsid w:val="00EE64BB"/>
    <w:rsid w:val="00EE6DDD"/>
    <w:rsid w:val="00EF01A4"/>
    <w:rsid w:val="00EF0543"/>
    <w:rsid w:val="00EF055F"/>
    <w:rsid w:val="00EF0695"/>
    <w:rsid w:val="00EF0827"/>
    <w:rsid w:val="00EF0831"/>
    <w:rsid w:val="00EF08FD"/>
    <w:rsid w:val="00EF11C3"/>
    <w:rsid w:val="00EF12AF"/>
    <w:rsid w:val="00EF12D5"/>
    <w:rsid w:val="00EF1344"/>
    <w:rsid w:val="00EF1564"/>
    <w:rsid w:val="00EF17DC"/>
    <w:rsid w:val="00EF188E"/>
    <w:rsid w:val="00EF1A60"/>
    <w:rsid w:val="00EF1B71"/>
    <w:rsid w:val="00EF1B8E"/>
    <w:rsid w:val="00EF20E3"/>
    <w:rsid w:val="00EF210B"/>
    <w:rsid w:val="00EF2CF0"/>
    <w:rsid w:val="00EF3324"/>
    <w:rsid w:val="00EF3D76"/>
    <w:rsid w:val="00EF453B"/>
    <w:rsid w:val="00EF47F6"/>
    <w:rsid w:val="00EF4A01"/>
    <w:rsid w:val="00EF4DF1"/>
    <w:rsid w:val="00EF4F68"/>
    <w:rsid w:val="00EF502E"/>
    <w:rsid w:val="00EF5C7D"/>
    <w:rsid w:val="00EF62E3"/>
    <w:rsid w:val="00EF67F7"/>
    <w:rsid w:val="00EF71DB"/>
    <w:rsid w:val="00EF765A"/>
    <w:rsid w:val="00EF7EC9"/>
    <w:rsid w:val="00EF7FAA"/>
    <w:rsid w:val="00F00F7D"/>
    <w:rsid w:val="00F00FD2"/>
    <w:rsid w:val="00F01258"/>
    <w:rsid w:val="00F0146C"/>
    <w:rsid w:val="00F01932"/>
    <w:rsid w:val="00F01CBB"/>
    <w:rsid w:val="00F01EF8"/>
    <w:rsid w:val="00F0237B"/>
    <w:rsid w:val="00F02687"/>
    <w:rsid w:val="00F0293A"/>
    <w:rsid w:val="00F02A1D"/>
    <w:rsid w:val="00F02CBB"/>
    <w:rsid w:val="00F02E7C"/>
    <w:rsid w:val="00F02E9D"/>
    <w:rsid w:val="00F035A2"/>
    <w:rsid w:val="00F03CCC"/>
    <w:rsid w:val="00F0419D"/>
    <w:rsid w:val="00F041B1"/>
    <w:rsid w:val="00F042ED"/>
    <w:rsid w:val="00F04373"/>
    <w:rsid w:val="00F04563"/>
    <w:rsid w:val="00F0460C"/>
    <w:rsid w:val="00F04EDD"/>
    <w:rsid w:val="00F05AF5"/>
    <w:rsid w:val="00F05B4A"/>
    <w:rsid w:val="00F05EE5"/>
    <w:rsid w:val="00F073EF"/>
    <w:rsid w:val="00F0749B"/>
    <w:rsid w:val="00F07E08"/>
    <w:rsid w:val="00F07EF7"/>
    <w:rsid w:val="00F105AB"/>
    <w:rsid w:val="00F107C0"/>
    <w:rsid w:val="00F10FC6"/>
    <w:rsid w:val="00F1189C"/>
    <w:rsid w:val="00F118AA"/>
    <w:rsid w:val="00F11BCC"/>
    <w:rsid w:val="00F120B5"/>
    <w:rsid w:val="00F1225A"/>
    <w:rsid w:val="00F12416"/>
    <w:rsid w:val="00F12564"/>
    <w:rsid w:val="00F126C6"/>
    <w:rsid w:val="00F126DE"/>
    <w:rsid w:val="00F12B77"/>
    <w:rsid w:val="00F1343B"/>
    <w:rsid w:val="00F13F9C"/>
    <w:rsid w:val="00F14B78"/>
    <w:rsid w:val="00F14DF4"/>
    <w:rsid w:val="00F160DA"/>
    <w:rsid w:val="00F168A1"/>
    <w:rsid w:val="00F16974"/>
    <w:rsid w:val="00F16B4E"/>
    <w:rsid w:val="00F16E52"/>
    <w:rsid w:val="00F16EDB"/>
    <w:rsid w:val="00F17B14"/>
    <w:rsid w:val="00F17D39"/>
    <w:rsid w:val="00F203D8"/>
    <w:rsid w:val="00F20BBC"/>
    <w:rsid w:val="00F20F6F"/>
    <w:rsid w:val="00F21245"/>
    <w:rsid w:val="00F2186A"/>
    <w:rsid w:val="00F22AD7"/>
    <w:rsid w:val="00F23545"/>
    <w:rsid w:val="00F23976"/>
    <w:rsid w:val="00F23B48"/>
    <w:rsid w:val="00F23E08"/>
    <w:rsid w:val="00F23F1C"/>
    <w:rsid w:val="00F2429F"/>
    <w:rsid w:val="00F2455F"/>
    <w:rsid w:val="00F24959"/>
    <w:rsid w:val="00F249BC"/>
    <w:rsid w:val="00F25E12"/>
    <w:rsid w:val="00F2606A"/>
    <w:rsid w:val="00F26214"/>
    <w:rsid w:val="00F263E2"/>
    <w:rsid w:val="00F264A2"/>
    <w:rsid w:val="00F266F7"/>
    <w:rsid w:val="00F269AA"/>
    <w:rsid w:val="00F27103"/>
    <w:rsid w:val="00F272CE"/>
    <w:rsid w:val="00F27C0D"/>
    <w:rsid w:val="00F306FA"/>
    <w:rsid w:val="00F30A59"/>
    <w:rsid w:val="00F322A2"/>
    <w:rsid w:val="00F32529"/>
    <w:rsid w:val="00F3278F"/>
    <w:rsid w:val="00F32EFB"/>
    <w:rsid w:val="00F32F14"/>
    <w:rsid w:val="00F339AD"/>
    <w:rsid w:val="00F33B18"/>
    <w:rsid w:val="00F342EF"/>
    <w:rsid w:val="00F347C1"/>
    <w:rsid w:val="00F34BD0"/>
    <w:rsid w:val="00F34C8E"/>
    <w:rsid w:val="00F3503A"/>
    <w:rsid w:val="00F35063"/>
    <w:rsid w:val="00F3549C"/>
    <w:rsid w:val="00F35C2D"/>
    <w:rsid w:val="00F3610B"/>
    <w:rsid w:val="00F37A46"/>
    <w:rsid w:val="00F37AB1"/>
    <w:rsid w:val="00F41E1D"/>
    <w:rsid w:val="00F421C9"/>
    <w:rsid w:val="00F429AC"/>
    <w:rsid w:val="00F42D20"/>
    <w:rsid w:val="00F43267"/>
    <w:rsid w:val="00F4394C"/>
    <w:rsid w:val="00F43DC7"/>
    <w:rsid w:val="00F440E4"/>
    <w:rsid w:val="00F442E4"/>
    <w:rsid w:val="00F448AF"/>
    <w:rsid w:val="00F45664"/>
    <w:rsid w:val="00F45959"/>
    <w:rsid w:val="00F45AD3"/>
    <w:rsid w:val="00F463B5"/>
    <w:rsid w:val="00F465B8"/>
    <w:rsid w:val="00F46BED"/>
    <w:rsid w:val="00F470D8"/>
    <w:rsid w:val="00F47665"/>
    <w:rsid w:val="00F476A4"/>
    <w:rsid w:val="00F4780E"/>
    <w:rsid w:val="00F47E9C"/>
    <w:rsid w:val="00F504F9"/>
    <w:rsid w:val="00F5053E"/>
    <w:rsid w:val="00F50E30"/>
    <w:rsid w:val="00F51409"/>
    <w:rsid w:val="00F519B7"/>
    <w:rsid w:val="00F519D5"/>
    <w:rsid w:val="00F524DA"/>
    <w:rsid w:val="00F52B90"/>
    <w:rsid w:val="00F52D05"/>
    <w:rsid w:val="00F52FAD"/>
    <w:rsid w:val="00F53139"/>
    <w:rsid w:val="00F534CA"/>
    <w:rsid w:val="00F537BE"/>
    <w:rsid w:val="00F539C9"/>
    <w:rsid w:val="00F53C0C"/>
    <w:rsid w:val="00F53EE4"/>
    <w:rsid w:val="00F540A0"/>
    <w:rsid w:val="00F542D6"/>
    <w:rsid w:val="00F544E6"/>
    <w:rsid w:val="00F54871"/>
    <w:rsid w:val="00F54C08"/>
    <w:rsid w:val="00F54F39"/>
    <w:rsid w:val="00F5502F"/>
    <w:rsid w:val="00F5510C"/>
    <w:rsid w:val="00F551ED"/>
    <w:rsid w:val="00F5563D"/>
    <w:rsid w:val="00F556AE"/>
    <w:rsid w:val="00F55DD1"/>
    <w:rsid w:val="00F55E12"/>
    <w:rsid w:val="00F565C9"/>
    <w:rsid w:val="00F566C1"/>
    <w:rsid w:val="00F56C10"/>
    <w:rsid w:val="00F56ED9"/>
    <w:rsid w:val="00F56F98"/>
    <w:rsid w:val="00F57005"/>
    <w:rsid w:val="00F60F42"/>
    <w:rsid w:val="00F61029"/>
    <w:rsid w:val="00F61BB1"/>
    <w:rsid w:val="00F62225"/>
    <w:rsid w:val="00F62BEE"/>
    <w:rsid w:val="00F6304C"/>
    <w:rsid w:val="00F633B1"/>
    <w:rsid w:val="00F635DA"/>
    <w:rsid w:val="00F6379C"/>
    <w:rsid w:val="00F637DD"/>
    <w:rsid w:val="00F63A38"/>
    <w:rsid w:val="00F63C12"/>
    <w:rsid w:val="00F64055"/>
    <w:rsid w:val="00F64270"/>
    <w:rsid w:val="00F648AD"/>
    <w:rsid w:val="00F64A83"/>
    <w:rsid w:val="00F65505"/>
    <w:rsid w:val="00F662D4"/>
    <w:rsid w:val="00F66404"/>
    <w:rsid w:val="00F66B4C"/>
    <w:rsid w:val="00F66DDF"/>
    <w:rsid w:val="00F66E9C"/>
    <w:rsid w:val="00F673D4"/>
    <w:rsid w:val="00F67569"/>
    <w:rsid w:val="00F67B6E"/>
    <w:rsid w:val="00F67DFD"/>
    <w:rsid w:val="00F7007E"/>
    <w:rsid w:val="00F709EF"/>
    <w:rsid w:val="00F71048"/>
    <w:rsid w:val="00F712DA"/>
    <w:rsid w:val="00F7173E"/>
    <w:rsid w:val="00F72309"/>
    <w:rsid w:val="00F72648"/>
    <w:rsid w:val="00F729A8"/>
    <w:rsid w:val="00F735CB"/>
    <w:rsid w:val="00F73A6C"/>
    <w:rsid w:val="00F73B7E"/>
    <w:rsid w:val="00F7416A"/>
    <w:rsid w:val="00F763E7"/>
    <w:rsid w:val="00F76972"/>
    <w:rsid w:val="00F76E52"/>
    <w:rsid w:val="00F770A7"/>
    <w:rsid w:val="00F772D4"/>
    <w:rsid w:val="00F77606"/>
    <w:rsid w:val="00F77A50"/>
    <w:rsid w:val="00F77D0F"/>
    <w:rsid w:val="00F80092"/>
    <w:rsid w:val="00F801EF"/>
    <w:rsid w:val="00F803CA"/>
    <w:rsid w:val="00F80B1C"/>
    <w:rsid w:val="00F8118F"/>
    <w:rsid w:val="00F8162A"/>
    <w:rsid w:val="00F81830"/>
    <w:rsid w:val="00F819FD"/>
    <w:rsid w:val="00F8200D"/>
    <w:rsid w:val="00F823A1"/>
    <w:rsid w:val="00F83A4E"/>
    <w:rsid w:val="00F83E21"/>
    <w:rsid w:val="00F83F87"/>
    <w:rsid w:val="00F840BA"/>
    <w:rsid w:val="00F8410A"/>
    <w:rsid w:val="00F84389"/>
    <w:rsid w:val="00F85415"/>
    <w:rsid w:val="00F85539"/>
    <w:rsid w:val="00F85589"/>
    <w:rsid w:val="00F858E4"/>
    <w:rsid w:val="00F85C29"/>
    <w:rsid w:val="00F85C9D"/>
    <w:rsid w:val="00F8627C"/>
    <w:rsid w:val="00F86632"/>
    <w:rsid w:val="00F86911"/>
    <w:rsid w:val="00F86A1C"/>
    <w:rsid w:val="00F87184"/>
    <w:rsid w:val="00F8752C"/>
    <w:rsid w:val="00F8772D"/>
    <w:rsid w:val="00F87C96"/>
    <w:rsid w:val="00F87E87"/>
    <w:rsid w:val="00F909D2"/>
    <w:rsid w:val="00F913D9"/>
    <w:rsid w:val="00F919B1"/>
    <w:rsid w:val="00F91A59"/>
    <w:rsid w:val="00F9215B"/>
    <w:rsid w:val="00F9308F"/>
    <w:rsid w:val="00F930EF"/>
    <w:rsid w:val="00F9316E"/>
    <w:rsid w:val="00F9337F"/>
    <w:rsid w:val="00F93BD4"/>
    <w:rsid w:val="00F93E9D"/>
    <w:rsid w:val="00F93FF6"/>
    <w:rsid w:val="00F9452A"/>
    <w:rsid w:val="00F94EF9"/>
    <w:rsid w:val="00F950C8"/>
    <w:rsid w:val="00F9551A"/>
    <w:rsid w:val="00F957E6"/>
    <w:rsid w:val="00F9625C"/>
    <w:rsid w:val="00F96276"/>
    <w:rsid w:val="00F9698C"/>
    <w:rsid w:val="00F96BB6"/>
    <w:rsid w:val="00F96E74"/>
    <w:rsid w:val="00F971C5"/>
    <w:rsid w:val="00F97840"/>
    <w:rsid w:val="00F97929"/>
    <w:rsid w:val="00FA0506"/>
    <w:rsid w:val="00FA0B9E"/>
    <w:rsid w:val="00FA10FB"/>
    <w:rsid w:val="00FA18BB"/>
    <w:rsid w:val="00FA2ACF"/>
    <w:rsid w:val="00FA2AF7"/>
    <w:rsid w:val="00FA2EAD"/>
    <w:rsid w:val="00FA394B"/>
    <w:rsid w:val="00FA3D1B"/>
    <w:rsid w:val="00FA473A"/>
    <w:rsid w:val="00FA4881"/>
    <w:rsid w:val="00FA48F2"/>
    <w:rsid w:val="00FA4A60"/>
    <w:rsid w:val="00FA4D5F"/>
    <w:rsid w:val="00FA4EDF"/>
    <w:rsid w:val="00FA5B2F"/>
    <w:rsid w:val="00FA5BC6"/>
    <w:rsid w:val="00FA5CF9"/>
    <w:rsid w:val="00FA5D36"/>
    <w:rsid w:val="00FA66A1"/>
    <w:rsid w:val="00FA6725"/>
    <w:rsid w:val="00FA6CF5"/>
    <w:rsid w:val="00FA7155"/>
    <w:rsid w:val="00FA7E94"/>
    <w:rsid w:val="00FA7F2D"/>
    <w:rsid w:val="00FB0857"/>
    <w:rsid w:val="00FB13E8"/>
    <w:rsid w:val="00FB1A9C"/>
    <w:rsid w:val="00FB1F68"/>
    <w:rsid w:val="00FB27C7"/>
    <w:rsid w:val="00FB37E5"/>
    <w:rsid w:val="00FB3C51"/>
    <w:rsid w:val="00FB3CBE"/>
    <w:rsid w:val="00FB3E20"/>
    <w:rsid w:val="00FB3E96"/>
    <w:rsid w:val="00FB3F26"/>
    <w:rsid w:val="00FB40A6"/>
    <w:rsid w:val="00FB4B07"/>
    <w:rsid w:val="00FB5191"/>
    <w:rsid w:val="00FB52D9"/>
    <w:rsid w:val="00FB595E"/>
    <w:rsid w:val="00FB5992"/>
    <w:rsid w:val="00FB6C71"/>
    <w:rsid w:val="00FB6F82"/>
    <w:rsid w:val="00FC0587"/>
    <w:rsid w:val="00FC07C3"/>
    <w:rsid w:val="00FC13C5"/>
    <w:rsid w:val="00FC16A7"/>
    <w:rsid w:val="00FC1B04"/>
    <w:rsid w:val="00FC1CB9"/>
    <w:rsid w:val="00FC1D3F"/>
    <w:rsid w:val="00FC1DBA"/>
    <w:rsid w:val="00FC21F2"/>
    <w:rsid w:val="00FC221A"/>
    <w:rsid w:val="00FC24FE"/>
    <w:rsid w:val="00FC2A0D"/>
    <w:rsid w:val="00FC2B06"/>
    <w:rsid w:val="00FC2E22"/>
    <w:rsid w:val="00FC2F20"/>
    <w:rsid w:val="00FC354F"/>
    <w:rsid w:val="00FC3551"/>
    <w:rsid w:val="00FC374B"/>
    <w:rsid w:val="00FC37F3"/>
    <w:rsid w:val="00FC3D83"/>
    <w:rsid w:val="00FC45FB"/>
    <w:rsid w:val="00FC5032"/>
    <w:rsid w:val="00FC5293"/>
    <w:rsid w:val="00FC56E4"/>
    <w:rsid w:val="00FC597D"/>
    <w:rsid w:val="00FC5B8F"/>
    <w:rsid w:val="00FC5E8D"/>
    <w:rsid w:val="00FC609F"/>
    <w:rsid w:val="00FC6350"/>
    <w:rsid w:val="00FC6908"/>
    <w:rsid w:val="00FC6C68"/>
    <w:rsid w:val="00FC6D61"/>
    <w:rsid w:val="00FC6FDA"/>
    <w:rsid w:val="00FC73AA"/>
    <w:rsid w:val="00FD039B"/>
    <w:rsid w:val="00FD0DCE"/>
    <w:rsid w:val="00FD1C04"/>
    <w:rsid w:val="00FD23B8"/>
    <w:rsid w:val="00FD2650"/>
    <w:rsid w:val="00FD269D"/>
    <w:rsid w:val="00FD2735"/>
    <w:rsid w:val="00FD2747"/>
    <w:rsid w:val="00FD2B51"/>
    <w:rsid w:val="00FD2BEE"/>
    <w:rsid w:val="00FD2FDC"/>
    <w:rsid w:val="00FD30AE"/>
    <w:rsid w:val="00FD350A"/>
    <w:rsid w:val="00FD388B"/>
    <w:rsid w:val="00FD412B"/>
    <w:rsid w:val="00FD4224"/>
    <w:rsid w:val="00FD4652"/>
    <w:rsid w:val="00FD46AC"/>
    <w:rsid w:val="00FD47E8"/>
    <w:rsid w:val="00FD4AF8"/>
    <w:rsid w:val="00FD4C8E"/>
    <w:rsid w:val="00FD4FB8"/>
    <w:rsid w:val="00FD5158"/>
    <w:rsid w:val="00FD5844"/>
    <w:rsid w:val="00FD5E34"/>
    <w:rsid w:val="00FD5FA7"/>
    <w:rsid w:val="00FD638C"/>
    <w:rsid w:val="00FD6453"/>
    <w:rsid w:val="00FD6561"/>
    <w:rsid w:val="00FD6737"/>
    <w:rsid w:val="00FD6AA6"/>
    <w:rsid w:val="00FD6E60"/>
    <w:rsid w:val="00FD764E"/>
    <w:rsid w:val="00FD7821"/>
    <w:rsid w:val="00FD78EA"/>
    <w:rsid w:val="00FE072C"/>
    <w:rsid w:val="00FE0738"/>
    <w:rsid w:val="00FE0A9A"/>
    <w:rsid w:val="00FE0BCD"/>
    <w:rsid w:val="00FE0E33"/>
    <w:rsid w:val="00FE0E77"/>
    <w:rsid w:val="00FE0FD3"/>
    <w:rsid w:val="00FE1265"/>
    <w:rsid w:val="00FE13FA"/>
    <w:rsid w:val="00FE1A8C"/>
    <w:rsid w:val="00FE1B15"/>
    <w:rsid w:val="00FE1F78"/>
    <w:rsid w:val="00FE20DC"/>
    <w:rsid w:val="00FE2299"/>
    <w:rsid w:val="00FE27EC"/>
    <w:rsid w:val="00FE3051"/>
    <w:rsid w:val="00FE3C5B"/>
    <w:rsid w:val="00FE3DAD"/>
    <w:rsid w:val="00FE41F4"/>
    <w:rsid w:val="00FE43F4"/>
    <w:rsid w:val="00FE4823"/>
    <w:rsid w:val="00FE50FD"/>
    <w:rsid w:val="00FE570A"/>
    <w:rsid w:val="00FE6254"/>
    <w:rsid w:val="00FE6478"/>
    <w:rsid w:val="00FE660C"/>
    <w:rsid w:val="00FE677A"/>
    <w:rsid w:val="00FE68F4"/>
    <w:rsid w:val="00FE6AA0"/>
    <w:rsid w:val="00FE6BEC"/>
    <w:rsid w:val="00FE6F3A"/>
    <w:rsid w:val="00FE706C"/>
    <w:rsid w:val="00FE72A2"/>
    <w:rsid w:val="00FF004C"/>
    <w:rsid w:val="00FF07BB"/>
    <w:rsid w:val="00FF0828"/>
    <w:rsid w:val="00FF0FC7"/>
    <w:rsid w:val="00FF1BD4"/>
    <w:rsid w:val="00FF1D25"/>
    <w:rsid w:val="00FF2356"/>
    <w:rsid w:val="00FF2387"/>
    <w:rsid w:val="00FF2C5D"/>
    <w:rsid w:val="00FF2D2F"/>
    <w:rsid w:val="00FF366C"/>
    <w:rsid w:val="00FF367A"/>
    <w:rsid w:val="00FF3AC8"/>
    <w:rsid w:val="00FF3DEA"/>
    <w:rsid w:val="00FF3DED"/>
    <w:rsid w:val="00FF3FB6"/>
    <w:rsid w:val="00FF40A5"/>
    <w:rsid w:val="00FF4B15"/>
    <w:rsid w:val="00FF593F"/>
    <w:rsid w:val="00FF606A"/>
    <w:rsid w:val="00FF60CD"/>
    <w:rsid w:val="00FF6773"/>
    <w:rsid w:val="00FF6CA5"/>
    <w:rsid w:val="00FF6D0F"/>
    <w:rsid w:val="00FF7462"/>
    <w:rsid w:val="00FF7ACF"/>
    <w:rsid w:val="00FF7FF0"/>
    <w:rsid w:val="01589687"/>
    <w:rsid w:val="045AC9BB"/>
    <w:rsid w:val="09602655"/>
    <w:rsid w:val="0C3B23A5"/>
    <w:rsid w:val="0C85D5A8"/>
    <w:rsid w:val="0ECF3B96"/>
    <w:rsid w:val="0FBB6A1C"/>
    <w:rsid w:val="1131F7B0"/>
    <w:rsid w:val="16E117D1"/>
    <w:rsid w:val="18326E23"/>
    <w:rsid w:val="2604CCD1"/>
    <w:rsid w:val="33C4D0C9"/>
    <w:rsid w:val="3427B4D3"/>
    <w:rsid w:val="35D2C7CD"/>
    <w:rsid w:val="38485807"/>
    <w:rsid w:val="3CD8DBE8"/>
    <w:rsid w:val="5B844CFE"/>
    <w:rsid w:val="61FE0ADC"/>
    <w:rsid w:val="66C29E69"/>
    <w:rsid w:val="67AE73D6"/>
    <w:rsid w:val="694A4437"/>
    <w:rsid w:val="6C7F5421"/>
    <w:rsid w:val="6D69D0D5"/>
    <w:rsid w:val="6E4537E5"/>
    <w:rsid w:val="74300682"/>
    <w:rsid w:val="78F2AB1D"/>
    <w:rsid w:val="7A83B8B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CDB32"/>
  <w15:chartTrackingRefBased/>
  <w15:docId w15:val="{34314163-9216-4EF7-8111-DC60DE46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6F0A"/>
    <w:rPr>
      <w:sz w:val="24"/>
    </w:rPr>
  </w:style>
  <w:style w:type="paragraph" w:styleId="Heading1">
    <w:name w:val="heading 1"/>
    <w:basedOn w:val="Normal"/>
    <w:next w:val="Normal"/>
    <w:link w:val="Heading1Char"/>
    <w:uiPriority w:val="9"/>
    <w:rsid w:val="002104BE"/>
    <w:pPr>
      <w:keepNext/>
      <w:keepLines/>
      <w:spacing w:before="240" w:after="0"/>
      <w:outlineLvl w:val="0"/>
    </w:pPr>
    <w:rPr>
      <w:rFonts w:asciiTheme="majorHAnsi" w:eastAsiaTheme="majorEastAsia" w:hAnsiTheme="majorHAnsi" w:cstheme="majorBidi"/>
      <w:color w:val="295557" w:themeColor="accent1" w:themeShade="BF"/>
      <w:sz w:val="32"/>
      <w:szCs w:val="32"/>
    </w:rPr>
  </w:style>
  <w:style w:type="paragraph" w:styleId="Heading2">
    <w:name w:val="heading 2"/>
    <w:basedOn w:val="Normal"/>
    <w:next w:val="Normal"/>
    <w:link w:val="Heading2Char"/>
    <w:uiPriority w:val="9"/>
    <w:semiHidden/>
    <w:unhideWhenUsed/>
    <w:rsid w:val="005D6D4B"/>
    <w:pPr>
      <w:keepNext/>
      <w:keepLines/>
      <w:spacing w:before="40" w:after="0"/>
      <w:outlineLvl w:val="1"/>
    </w:pPr>
    <w:rPr>
      <w:rFonts w:asciiTheme="majorHAnsi" w:eastAsiaTheme="majorEastAsia" w:hAnsiTheme="majorHAnsi" w:cstheme="majorBidi"/>
      <w:color w:val="295557" w:themeColor="accent1" w:themeShade="BF"/>
      <w:sz w:val="26"/>
      <w:szCs w:val="26"/>
    </w:rPr>
  </w:style>
  <w:style w:type="paragraph" w:styleId="Heading3">
    <w:name w:val="heading 3"/>
    <w:basedOn w:val="Normal"/>
    <w:next w:val="Normal"/>
    <w:link w:val="Heading3Char"/>
    <w:uiPriority w:val="9"/>
    <w:semiHidden/>
    <w:unhideWhenUsed/>
    <w:qFormat/>
    <w:rsid w:val="005D6D4B"/>
    <w:pPr>
      <w:keepNext/>
      <w:keepLines/>
      <w:spacing w:before="40" w:after="0"/>
      <w:outlineLvl w:val="2"/>
    </w:pPr>
    <w:rPr>
      <w:rFonts w:asciiTheme="majorHAnsi" w:eastAsiaTheme="majorEastAsia" w:hAnsiTheme="majorHAnsi" w:cstheme="majorBidi"/>
      <w:color w:val="1B383A" w:themeColor="accent1" w:themeShade="7F"/>
      <w:szCs w:val="24"/>
    </w:rPr>
  </w:style>
  <w:style w:type="paragraph" w:styleId="Heading4">
    <w:name w:val="heading 4"/>
    <w:basedOn w:val="Normal"/>
    <w:next w:val="Normal"/>
    <w:link w:val="Heading4Char"/>
    <w:uiPriority w:val="9"/>
    <w:unhideWhenUsed/>
    <w:qFormat/>
    <w:rsid w:val="008764F7"/>
    <w:pPr>
      <w:keepNext/>
      <w:keepLines/>
      <w:spacing w:before="240" w:after="40" w:line="256" w:lineRule="auto"/>
      <w:outlineLvl w:val="3"/>
    </w:pPr>
    <w:rPr>
      <w:rFonts w:ascii="Calibri" w:eastAsia="Times New Roman" w:hAnsi="Calibri" w:cs="Calibri"/>
      <w:b/>
      <w:color w:val="201547"/>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972"/>
  </w:style>
  <w:style w:type="paragraph" w:styleId="Footer">
    <w:name w:val="footer"/>
    <w:basedOn w:val="Normal"/>
    <w:link w:val="FooterChar"/>
    <w:uiPriority w:val="99"/>
    <w:unhideWhenUsed/>
    <w:rsid w:val="004B1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972"/>
  </w:style>
  <w:style w:type="character" w:customStyle="1" w:styleId="Heading1Char">
    <w:name w:val="Heading 1 Char"/>
    <w:basedOn w:val="DefaultParagraphFont"/>
    <w:link w:val="Heading1"/>
    <w:uiPriority w:val="9"/>
    <w:rsid w:val="002104BE"/>
    <w:rPr>
      <w:rFonts w:asciiTheme="majorHAnsi" w:eastAsiaTheme="majorEastAsia" w:hAnsiTheme="majorHAnsi" w:cstheme="majorBidi"/>
      <w:color w:val="295557" w:themeColor="accent1" w:themeShade="BF"/>
      <w:sz w:val="32"/>
      <w:szCs w:val="32"/>
    </w:rPr>
  </w:style>
  <w:style w:type="character" w:styleId="BookTitle">
    <w:name w:val="Book Title"/>
    <w:basedOn w:val="DefaultParagraphFont"/>
    <w:uiPriority w:val="33"/>
    <w:rsid w:val="002104BE"/>
    <w:rPr>
      <w:b/>
      <w:bCs/>
      <w:i/>
      <w:iCs/>
      <w:spacing w:val="5"/>
    </w:rPr>
  </w:style>
  <w:style w:type="paragraph" w:styleId="NoSpacing">
    <w:name w:val="No Spacing"/>
    <w:uiPriority w:val="1"/>
    <w:rsid w:val="002104BE"/>
    <w:pPr>
      <w:spacing w:after="0" w:line="240" w:lineRule="auto"/>
    </w:pPr>
  </w:style>
  <w:style w:type="paragraph" w:styleId="TOC1">
    <w:name w:val="toc 1"/>
    <w:basedOn w:val="Normal"/>
    <w:next w:val="Normal"/>
    <w:autoRedefine/>
    <w:uiPriority w:val="39"/>
    <w:unhideWhenUsed/>
    <w:rsid w:val="004A0ED0"/>
    <w:pPr>
      <w:spacing w:after="100"/>
    </w:pPr>
  </w:style>
  <w:style w:type="table" w:styleId="TableGrid">
    <w:name w:val="Table Grid"/>
    <w:basedOn w:val="TableNormal"/>
    <w:uiPriority w:val="39"/>
    <w:rsid w:val="002929D7"/>
    <w:pPr>
      <w:spacing w:before="40" w:after="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44DA"/>
    <w:rPr>
      <w:color w:val="605E5C"/>
      <w:shd w:val="clear" w:color="auto" w:fill="E1DFDD"/>
    </w:rPr>
  </w:style>
  <w:style w:type="paragraph" w:customStyle="1" w:styleId="Heading1-report">
    <w:name w:val="Heading 1 - report"/>
    <w:basedOn w:val="Normal"/>
    <w:next w:val="Normal"/>
    <w:qFormat/>
    <w:rsid w:val="00C61459"/>
    <w:pPr>
      <w:keepNext/>
      <w:spacing w:before="480" w:line="168" w:lineRule="auto"/>
    </w:pPr>
    <w:rPr>
      <w:b/>
      <w:bCs/>
      <w:color w:val="201547"/>
      <w:sz w:val="48"/>
      <w:szCs w:val="48"/>
    </w:rPr>
  </w:style>
  <w:style w:type="paragraph" w:customStyle="1" w:styleId="Heading2-report">
    <w:name w:val="Heading 2 - report"/>
    <w:basedOn w:val="Normal"/>
    <w:next w:val="Normal"/>
    <w:qFormat/>
    <w:rsid w:val="007B22C3"/>
    <w:pPr>
      <w:keepNext/>
      <w:spacing w:before="80" w:after="80"/>
    </w:pPr>
    <w:rPr>
      <w:b/>
      <w:bCs/>
      <w:color w:val="201547"/>
      <w:sz w:val="36"/>
      <w:szCs w:val="36"/>
    </w:rPr>
  </w:style>
  <w:style w:type="paragraph" w:customStyle="1" w:styleId="Heading3-report">
    <w:name w:val="Heading 3 - report"/>
    <w:basedOn w:val="Normal"/>
    <w:next w:val="Normal"/>
    <w:qFormat/>
    <w:rsid w:val="007B22C3"/>
    <w:pPr>
      <w:keepNext/>
      <w:spacing w:before="80" w:after="80"/>
    </w:pPr>
    <w:rPr>
      <w:b/>
      <w:bCs/>
      <w:color w:val="201547"/>
      <w:sz w:val="28"/>
      <w:szCs w:val="28"/>
    </w:rPr>
  </w:style>
  <w:style w:type="paragraph" w:customStyle="1" w:styleId="Tableheading">
    <w:name w:val="Table heading"/>
    <w:basedOn w:val="Normal"/>
    <w:next w:val="Normal"/>
    <w:qFormat/>
    <w:rsid w:val="00411EC0"/>
    <w:pPr>
      <w:keepNext/>
      <w:spacing w:after="0"/>
    </w:pPr>
    <w:rPr>
      <w:b/>
      <w:bCs/>
      <w:szCs w:val="24"/>
    </w:rPr>
  </w:style>
  <w:style w:type="table" w:customStyle="1" w:styleId="LHCtable">
    <w:name w:val="LHC table"/>
    <w:basedOn w:val="TableNormal"/>
    <w:uiPriority w:val="99"/>
    <w:rsid w:val="002104BE"/>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customStyle="1" w:styleId="Blockquote">
    <w:name w:val="Block quote"/>
    <w:basedOn w:val="Normal"/>
    <w:next w:val="Normal"/>
    <w:qFormat/>
    <w:rsid w:val="00EA5C24"/>
    <w:pPr>
      <w:keepLines/>
      <w:ind w:left="851" w:right="851"/>
    </w:pPr>
    <w:rPr>
      <w:sz w:val="22"/>
    </w:rPr>
  </w:style>
  <w:style w:type="character" w:styleId="Strong">
    <w:name w:val="Strong"/>
    <w:basedOn w:val="DefaultParagraphFont"/>
    <w:uiPriority w:val="22"/>
    <w:qFormat/>
    <w:rsid w:val="002929D7"/>
    <w:rPr>
      <w:b/>
      <w:bCs/>
    </w:rPr>
  </w:style>
  <w:style w:type="character" w:styleId="IntenseReference">
    <w:name w:val="Intense Reference"/>
    <w:basedOn w:val="DefaultParagraphFont"/>
    <w:uiPriority w:val="32"/>
    <w:rsid w:val="002104BE"/>
    <w:rPr>
      <w:b/>
      <w:bCs/>
      <w:smallCaps/>
      <w:color w:val="377375" w:themeColor="accent1"/>
      <w:spacing w:val="5"/>
    </w:rPr>
  </w:style>
  <w:style w:type="paragraph" w:customStyle="1" w:styleId="Bullet">
    <w:name w:val="Bullet"/>
    <w:basedOn w:val="Normal"/>
    <w:qFormat/>
    <w:rsid w:val="00737BF6"/>
    <w:pPr>
      <w:numPr>
        <w:numId w:val="1"/>
      </w:numPr>
      <w:spacing w:after="100"/>
    </w:pPr>
  </w:style>
  <w:style w:type="paragraph" w:customStyle="1" w:styleId="Bigquotetext">
    <w:name w:val="Big quote text"/>
    <w:basedOn w:val="Normal"/>
    <w:qFormat/>
    <w:rsid w:val="00EA5C24"/>
    <w:pPr>
      <w:keepLines/>
      <w:ind w:left="851" w:right="851"/>
    </w:pPr>
    <w:rPr>
      <w:color w:val="201547"/>
      <w:sz w:val="36"/>
    </w:rPr>
  </w:style>
  <w:style w:type="paragraph" w:customStyle="1" w:styleId="Casestudytitle">
    <w:name w:val="Case study title"/>
    <w:basedOn w:val="Heading1-report"/>
    <w:next w:val="Bigquotetext"/>
    <w:qFormat/>
    <w:rsid w:val="00F54C08"/>
    <w:pPr>
      <w:ind w:left="851"/>
    </w:pPr>
  </w:style>
  <w:style w:type="paragraph" w:styleId="EndnoteText">
    <w:name w:val="endnote text"/>
    <w:basedOn w:val="Normal"/>
    <w:link w:val="EndnoteTextChar"/>
    <w:uiPriority w:val="99"/>
    <w:semiHidden/>
    <w:unhideWhenUsed/>
    <w:rsid w:val="003B72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725D"/>
    <w:rPr>
      <w:sz w:val="20"/>
      <w:szCs w:val="20"/>
    </w:rPr>
  </w:style>
  <w:style w:type="character" w:styleId="EndnoteReference">
    <w:name w:val="endnote reference"/>
    <w:basedOn w:val="DefaultParagraphFont"/>
    <w:uiPriority w:val="99"/>
    <w:semiHidden/>
    <w:unhideWhenUsed/>
    <w:rsid w:val="003B725D"/>
    <w:rPr>
      <w:vertAlign w:val="superscript"/>
    </w:rPr>
  </w:style>
  <w:style w:type="character" w:styleId="IntenseEmphasis">
    <w:name w:val="Intense Emphasis"/>
    <w:basedOn w:val="DefaultParagraphFont"/>
    <w:uiPriority w:val="21"/>
    <w:rsid w:val="002104BE"/>
    <w:rPr>
      <w:i/>
      <w:iCs/>
      <w:color w:val="377375" w:themeColor="accent1"/>
    </w:rPr>
  </w:style>
  <w:style w:type="paragraph" w:styleId="FootnoteText">
    <w:name w:val="footnote text"/>
    <w:basedOn w:val="Normal"/>
    <w:link w:val="FootnoteTextChar"/>
    <w:uiPriority w:val="99"/>
    <w:semiHidden/>
    <w:unhideWhenUsed/>
    <w:rsid w:val="003B72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25D"/>
    <w:rPr>
      <w:sz w:val="20"/>
      <w:szCs w:val="20"/>
    </w:rPr>
  </w:style>
  <w:style w:type="paragraph" w:styleId="Subtitle">
    <w:name w:val="Subtitle"/>
    <w:basedOn w:val="Normal"/>
    <w:next w:val="Normal"/>
    <w:link w:val="SubtitleChar"/>
    <w:uiPriority w:val="11"/>
    <w:rsid w:val="002104B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104BE"/>
    <w:rPr>
      <w:rFonts w:eastAsiaTheme="minorEastAsia"/>
      <w:color w:val="5A5A5A" w:themeColor="text1" w:themeTint="A5"/>
      <w:spacing w:val="15"/>
    </w:rPr>
  </w:style>
  <w:style w:type="character" w:styleId="FootnoteReference">
    <w:name w:val="footnote reference"/>
    <w:basedOn w:val="DefaultParagraphFont"/>
    <w:uiPriority w:val="99"/>
    <w:semiHidden/>
    <w:unhideWhenUsed/>
    <w:rsid w:val="003B725D"/>
    <w:rPr>
      <w:vertAlign w:val="superscript"/>
    </w:rPr>
  </w:style>
  <w:style w:type="paragraph" w:customStyle="1" w:styleId="Footnotemarker-report">
    <w:name w:val="Footnote marker - report"/>
    <w:basedOn w:val="Normal"/>
    <w:next w:val="Normal"/>
    <w:qFormat/>
    <w:rsid w:val="00EA5C24"/>
    <w:pPr>
      <w:keepLines/>
    </w:pPr>
  </w:style>
  <w:style w:type="paragraph" w:customStyle="1" w:styleId="Reportfootnotetext">
    <w:name w:val="Report footnote text"/>
    <w:basedOn w:val="FootnoteText"/>
    <w:qFormat/>
    <w:rsid w:val="003B725D"/>
    <w:rPr>
      <w:lang w:val="en-US"/>
    </w:rPr>
  </w:style>
  <w:style w:type="paragraph" w:styleId="ListParagraph">
    <w:name w:val="List Paragraph"/>
    <w:basedOn w:val="Normal"/>
    <w:uiPriority w:val="34"/>
    <w:qFormat/>
    <w:rsid w:val="00F524DA"/>
    <w:pPr>
      <w:ind w:left="720"/>
      <w:contextualSpacing/>
    </w:pPr>
  </w:style>
  <w:style w:type="paragraph" w:customStyle="1" w:styleId="Reportnumberedlist">
    <w:name w:val="Report numbered list"/>
    <w:basedOn w:val="ListParagraph"/>
    <w:qFormat/>
    <w:rsid w:val="00737BF6"/>
    <w:pPr>
      <w:numPr>
        <w:numId w:val="3"/>
      </w:numPr>
      <w:spacing w:before="60" w:after="60"/>
      <w:ind w:left="714" w:hanging="357"/>
      <w:contextualSpacing w:val="0"/>
    </w:pPr>
  </w:style>
  <w:style w:type="paragraph" w:customStyle="1" w:styleId="Sourcetitle">
    <w:name w:val="Source title"/>
    <w:basedOn w:val="Normal"/>
    <w:next w:val="Normal"/>
    <w:qFormat/>
    <w:rsid w:val="00EA5C24"/>
    <w:pPr>
      <w:keepLines/>
      <w:spacing w:line="240" w:lineRule="auto"/>
    </w:pPr>
    <w:rPr>
      <w:i/>
      <w:iCs/>
      <w:sz w:val="20"/>
      <w:szCs w:val="20"/>
    </w:rPr>
  </w:style>
  <w:style w:type="paragraph" w:customStyle="1" w:styleId="LHCrecommendationsubheading">
    <w:name w:val="LHC recommendation subheading"/>
    <w:basedOn w:val="Heading3-report"/>
    <w:next w:val="LHCrecommendationtext"/>
    <w:rsid w:val="005A3013"/>
  </w:style>
  <w:style w:type="paragraph" w:customStyle="1" w:styleId="LHCrecommendationtext">
    <w:name w:val="LHC recommendation text"/>
    <w:basedOn w:val="Normal"/>
    <w:rsid w:val="00EA5C24"/>
    <w:pPr>
      <w:keepLines/>
      <w:numPr>
        <w:numId w:val="5"/>
      </w:numPr>
    </w:pPr>
  </w:style>
  <w:style w:type="paragraph" w:customStyle="1" w:styleId="LHCletteredsub-point">
    <w:name w:val="LHC lettered sub-point"/>
    <w:basedOn w:val="LHCrecommendationtext"/>
    <w:rsid w:val="003F2DF7"/>
    <w:pPr>
      <w:numPr>
        <w:ilvl w:val="1"/>
        <w:numId w:val="4"/>
      </w:numPr>
      <w:ind w:left="1037" w:hanging="357"/>
    </w:pPr>
  </w:style>
  <w:style w:type="paragraph" w:styleId="TOCHeading">
    <w:name w:val="TOC Heading"/>
    <w:basedOn w:val="Heading1"/>
    <w:next w:val="Normal"/>
    <w:uiPriority w:val="39"/>
    <w:unhideWhenUsed/>
    <w:qFormat/>
    <w:rsid w:val="005D6D4B"/>
    <w:pPr>
      <w:outlineLvl w:val="9"/>
    </w:pPr>
    <w:rPr>
      <w:lang w:val="en-US"/>
    </w:rPr>
  </w:style>
  <w:style w:type="character" w:customStyle="1" w:styleId="Heading2Char">
    <w:name w:val="Heading 2 Char"/>
    <w:basedOn w:val="DefaultParagraphFont"/>
    <w:link w:val="Heading2"/>
    <w:uiPriority w:val="9"/>
    <w:semiHidden/>
    <w:rsid w:val="005D6D4B"/>
    <w:rPr>
      <w:rFonts w:asciiTheme="majorHAnsi" w:eastAsiaTheme="majorEastAsia" w:hAnsiTheme="majorHAnsi" w:cstheme="majorBidi"/>
      <w:color w:val="295557" w:themeColor="accent1" w:themeShade="BF"/>
      <w:sz w:val="26"/>
      <w:szCs w:val="26"/>
    </w:rPr>
  </w:style>
  <w:style w:type="character" w:customStyle="1" w:styleId="Heading3Char">
    <w:name w:val="Heading 3 Char"/>
    <w:basedOn w:val="DefaultParagraphFont"/>
    <w:link w:val="Heading3"/>
    <w:uiPriority w:val="9"/>
    <w:semiHidden/>
    <w:rsid w:val="005D6D4B"/>
    <w:rPr>
      <w:rFonts w:asciiTheme="majorHAnsi" w:eastAsiaTheme="majorEastAsia" w:hAnsiTheme="majorHAnsi" w:cstheme="majorBidi"/>
      <w:color w:val="1B383A" w:themeColor="accent1" w:themeShade="7F"/>
      <w:sz w:val="24"/>
      <w:szCs w:val="24"/>
    </w:rPr>
  </w:style>
  <w:style w:type="paragraph" w:styleId="TOC2">
    <w:name w:val="toc 2"/>
    <w:basedOn w:val="Normal"/>
    <w:next w:val="Normal"/>
    <w:autoRedefine/>
    <w:uiPriority w:val="39"/>
    <w:unhideWhenUsed/>
    <w:rsid w:val="005D6D4B"/>
    <w:pPr>
      <w:spacing w:after="100"/>
      <w:ind w:left="220"/>
    </w:pPr>
  </w:style>
  <w:style w:type="paragraph" w:styleId="TOC3">
    <w:name w:val="toc 3"/>
    <w:basedOn w:val="Normal"/>
    <w:next w:val="Normal"/>
    <w:autoRedefine/>
    <w:uiPriority w:val="39"/>
    <w:unhideWhenUsed/>
    <w:rsid w:val="005D6D4B"/>
    <w:pPr>
      <w:spacing w:after="100"/>
      <w:ind w:left="440"/>
    </w:pPr>
  </w:style>
  <w:style w:type="character" w:styleId="Hyperlink">
    <w:name w:val="Hyperlink"/>
    <w:basedOn w:val="DefaultParagraphFont"/>
    <w:uiPriority w:val="99"/>
    <w:unhideWhenUsed/>
    <w:rsid w:val="00C27BDA"/>
    <w:rPr>
      <w:color w:val="201547"/>
      <w:u w:val="single"/>
    </w:rPr>
  </w:style>
  <w:style w:type="paragraph" w:customStyle="1" w:styleId="paragraph">
    <w:name w:val="paragraph"/>
    <w:basedOn w:val="Normal"/>
    <w:rsid w:val="004947BE"/>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4947BE"/>
  </w:style>
  <w:style w:type="character" w:customStyle="1" w:styleId="eop">
    <w:name w:val="eop"/>
    <w:basedOn w:val="DefaultParagraphFont"/>
    <w:rsid w:val="004947BE"/>
  </w:style>
  <w:style w:type="paragraph" w:customStyle="1" w:styleId="Reportcasestudytext">
    <w:name w:val="Report case study text"/>
    <w:rsid w:val="00E72767"/>
    <w:pPr>
      <w:ind w:left="794"/>
    </w:pPr>
    <w:rPr>
      <w:color w:val="201547"/>
      <w:sz w:val="28"/>
      <w:szCs w:val="18"/>
    </w:rPr>
  </w:style>
  <w:style w:type="paragraph" w:customStyle="1" w:styleId="Casestudytext">
    <w:name w:val="Case study text"/>
    <w:basedOn w:val="Reportcasestudytext"/>
    <w:rsid w:val="00E72767"/>
    <w:pPr>
      <w:ind w:left="851"/>
    </w:pPr>
  </w:style>
  <w:style w:type="table" w:styleId="TableGridLight">
    <w:name w:val="Grid Table Light"/>
    <w:basedOn w:val="TableNormal"/>
    <w:uiPriority w:val="40"/>
    <w:rsid w:val="004618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31A16"/>
    <w:rPr>
      <w:sz w:val="16"/>
      <w:szCs w:val="16"/>
    </w:rPr>
  </w:style>
  <w:style w:type="paragraph" w:styleId="CommentText">
    <w:name w:val="annotation text"/>
    <w:basedOn w:val="Normal"/>
    <w:link w:val="CommentTextChar"/>
    <w:uiPriority w:val="99"/>
    <w:unhideWhenUsed/>
    <w:rsid w:val="00531A16"/>
    <w:pPr>
      <w:spacing w:line="240" w:lineRule="auto"/>
    </w:pPr>
    <w:rPr>
      <w:sz w:val="20"/>
      <w:szCs w:val="20"/>
    </w:rPr>
  </w:style>
  <w:style w:type="character" w:customStyle="1" w:styleId="CommentTextChar">
    <w:name w:val="Comment Text Char"/>
    <w:basedOn w:val="DefaultParagraphFont"/>
    <w:link w:val="CommentText"/>
    <w:uiPriority w:val="99"/>
    <w:rsid w:val="00531A16"/>
    <w:rPr>
      <w:sz w:val="20"/>
      <w:szCs w:val="20"/>
    </w:rPr>
  </w:style>
  <w:style w:type="paragraph" w:styleId="CommentSubject">
    <w:name w:val="annotation subject"/>
    <w:basedOn w:val="CommentText"/>
    <w:next w:val="CommentText"/>
    <w:link w:val="CommentSubjectChar"/>
    <w:uiPriority w:val="99"/>
    <w:semiHidden/>
    <w:unhideWhenUsed/>
    <w:rsid w:val="00531A16"/>
    <w:rPr>
      <w:b/>
      <w:bCs/>
    </w:rPr>
  </w:style>
  <w:style w:type="character" w:customStyle="1" w:styleId="CommentSubjectChar">
    <w:name w:val="Comment Subject Char"/>
    <w:basedOn w:val="CommentTextChar"/>
    <w:link w:val="CommentSubject"/>
    <w:uiPriority w:val="99"/>
    <w:semiHidden/>
    <w:rsid w:val="00531A16"/>
    <w:rPr>
      <w:b/>
      <w:bCs/>
      <w:sz w:val="20"/>
      <w:szCs w:val="20"/>
    </w:rPr>
  </w:style>
  <w:style w:type="character" w:styleId="Emphasis">
    <w:name w:val="Emphasis"/>
    <w:basedOn w:val="DefaultParagraphFont"/>
    <w:uiPriority w:val="20"/>
    <w:qFormat/>
    <w:rsid w:val="00091271"/>
    <w:rPr>
      <w:i/>
      <w:iCs/>
    </w:rPr>
  </w:style>
  <w:style w:type="character" w:customStyle="1" w:styleId="superscript">
    <w:name w:val="superscript"/>
    <w:basedOn w:val="DefaultParagraphFont"/>
    <w:rsid w:val="00091271"/>
  </w:style>
  <w:style w:type="paragraph" w:styleId="Revision">
    <w:name w:val="Revision"/>
    <w:hidden/>
    <w:uiPriority w:val="99"/>
    <w:semiHidden/>
    <w:rsid w:val="00D5500A"/>
    <w:pPr>
      <w:spacing w:after="0" w:line="240" w:lineRule="auto"/>
    </w:pPr>
    <w:rPr>
      <w:sz w:val="24"/>
    </w:rPr>
  </w:style>
  <w:style w:type="paragraph" w:styleId="NormalWeb">
    <w:name w:val="Normal (Web)"/>
    <w:basedOn w:val="Normal"/>
    <w:uiPriority w:val="99"/>
    <w:semiHidden/>
    <w:unhideWhenUsed/>
    <w:rsid w:val="004D7CA3"/>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pf0">
    <w:name w:val="pf0"/>
    <w:basedOn w:val="Normal"/>
    <w:rsid w:val="00B94320"/>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cf01">
    <w:name w:val="cf01"/>
    <w:basedOn w:val="DefaultParagraphFont"/>
    <w:rsid w:val="00B94320"/>
    <w:rPr>
      <w:rFonts w:ascii="Segoe UI" w:hAnsi="Segoe UI" w:cs="Segoe UI" w:hint="default"/>
      <w:sz w:val="18"/>
      <w:szCs w:val="18"/>
    </w:rPr>
  </w:style>
  <w:style w:type="character" w:customStyle="1" w:styleId="cf11">
    <w:name w:val="cf11"/>
    <w:basedOn w:val="DefaultParagraphFont"/>
    <w:rsid w:val="00B94320"/>
    <w:rPr>
      <w:rFonts w:ascii="Segoe UI" w:hAnsi="Segoe UI" w:cs="Segoe UI" w:hint="default"/>
      <w:i/>
      <w:iCs/>
      <w:sz w:val="18"/>
      <w:szCs w:val="18"/>
    </w:rPr>
  </w:style>
  <w:style w:type="paragraph" w:styleId="ListBullet">
    <w:name w:val="List Bullet"/>
    <w:basedOn w:val="Normal"/>
    <w:uiPriority w:val="99"/>
    <w:unhideWhenUsed/>
    <w:rsid w:val="007B4AC7"/>
    <w:pPr>
      <w:numPr>
        <w:numId w:val="2"/>
      </w:numPr>
      <w:contextualSpacing/>
    </w:pPr>
  </w:style>
  <w:style w:type="paragraph" w:styleId="Caption">
    <w:name w:val="caption"/>
    <w:basedOn w:val="Normal"/>
    <w:next w:val="Normal"/>
    <w:uiPriority w:val="35"/>
    <w:unhideWhenUsed/>
    <w:qFormat/>
    <w:rsid w:val="00092F77"/>
    <w:pPr>
      <w:spacing w:after="200" w:line="240" w:lineRule="auto"/>
    </w:pPr>
    <w:rPr>
      <w:i/>
      <w:iCs/>
      <w:color w:val="2B484E" w:themeColor="text2"/>
      <w:sz w:val="18"/>
      <w:szCs w:val="18"/>
    </w:rPr>
  </w:style>
  <w:style w:type="character" w:customStyle="1" w:styleId="Heading4Char">
    <w:name w:val="Heading 4 Char"/>
    <w:basedOn w:val="DefaultParagraphFont"/>
    <w:link w:val="Heading4"/>
    <w:uiPriority w:val="9"/>
    <w:rsid w:val="008764F7"/>
    <w:rPr>
      <w:rFonts w:ascii="Calibri" w:eastAsia="Times New Roman" w:hAnsi="Calibri" w:cs="Calibri"/>
      <w:b/>
      <w:color w:val="201547"/>
      <w:sz w:val="24"/>
      <w:szCs w:val="24"/>
      <w:lang w:eastAsia="en-AU"/>
    </w:rPr>
  </w:style>
  <w:style w:type="character" w:customStyle="1" w:styleId="xcontentpasted0">
    <w:name w:val="x_contentpasted0"/>
    <w:basedOn w:val="DefaultParagraphFont"/>
    <w:rsid w:val="00317BDD"/>
  </w:style>
  <w:style w:type="paragraph" w:customStyle="1" w:styleId="BoldedRightsIntro">
    <w:name w:val="Bolded Rights Intro"/>
    <w:basedOn w:val="Normal"/>
    <w:link w:val="BoldedRightsIntroChar"/>
    <w:qFormat/>
    <w:rsid w:val="006619C1"/>
    <w:pPr>
      <w:spacing w:before="360" w:after="240"/>
    </w:pPr>
    <w:rPr>
      <w:b/>
      <w:bCs/>
    </w:rPr>
  </w:style>
  <w:style w:type="character" w:customStyle="1" w:styleId="BoldedRightsIntroChar">
    <w:name w:val="Bolded Rights Intro Char"/>
    <w:basedOn w:val="DefaultParagraphFont"/>
    <w:link w:val="BoldedRightsIntro"/>
    <w:rsid w:val="006619C1"/>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130">
      <w:bodyDiv w:val="1"/>
      <w:marLeft w:val="0"/>
      <w:marRight w:val="0"/>
      <w:marTop w:val="0"/>
      <w:marBottom w:val="0"/>
      <w:divBdr>
        <w:top w:val="none" w:sz="0" w:space="0" w:color="auto"/>
        <w:left w:val="none" w:sz="0" w:space="0" w:color="auto"/>
        <w:bottom w:val="none" w:sz="0" w:space="0" w:color="auto"/>
        <w:right w:val="none" w:sz="0" w:space="0" w:color="auto"/>
      </w:divBdr>
    </w:div>
    <w:div w:id="145634721">
      <w:bodyDiv w:val="1"/>
      <w:marLeft w:val="0"/>
      <w:marRight w:val="0"/>
      <w:marTop w:val="0"/>
      <w:marBottom w:val="0"/>
      <w:divBdr>
        <w:top w:val="none" w:sz="0" w:space="0" w:color="auto"/>
        <w:left w:val="none" w:sz="0" w:space="0" w:color="auto"/>
        <w:bottom w:val="none" w:sz="0" w:space="0" w:color="auto"/>
        <w:right w:val="none" w:sz="0" w:space="0" w:color="auto"/>
      </w:divBdr>
      <w:divsChild>
        <w:div w:id="1757704247">
          <w:marLeft w:val="0"/>
          <w:marRight w:val="0"/>
          <w:marTop w:val="0"/>
          <w:marBottom w:val="0"/>
          <w:divBdr>
            <w:top w:val="none" w:sz="0" w:space="0" w:color="auto"/>
            <w:left w:val="none" w:sz="0" w:space="0" w:color="auto"/>
            <w:bottom w:val="none" w:sz="0" w:space="0" w:color="auto"/>
            <w:right w:val="none" w:sz="0" w:space="0" w:color="auto"/>
          </w:divBdr>
          <w:divsChild>
            <w:div w:id="11870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1509">
      <w:bodyDiv w:val="1"/>
      <w:marLeft w:val="0"/>
      <w:marRight w:val="0"/>
      <w:marTop w:val="0"/>
      <w:marBottom w:val="0"/>
      <w:divBdr>
        <w:top w:val="none" w:sz="0" w:space="0" w:color="auto"/>
        <w:left w:val="none" w:sz="0" w:space="0" w:color="auto"/>
        <w:bottom w:val="none" w:sz="0" w:space="0" w:color="auto"/>
        <w:right w:val="none" w:sz="0" w:space="0" w:color="auto"/>
      </w:divBdr>
      <w:divsChild>
        <w:div w:id="1611471310">
          <w:marLeft w:val="0"/>
          <w:marRight w:val="0"/>
          <w:marTop w:val="0"/>
          <w:marBottom w:val="0"/>
          <w:divBdr>
            <w:top w:val="none" w:sz="0" w:space="0" w:color="auto"/>
            <w:left w:val="none" w:sz="0" w:space="0" w:color="auto"/>
            <w:bottom w:val="none" w:sz="0" w:space="0" w:color="auto"/>
            <w:right w:val="none" w:sz="0" w:space="0" w:color="auto"/>
          </w:divBdr>
          <w:divsChild>
            <w:div w:id="13526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1509">
      <w:bodyDiv w:val="1"/>
      <w:marLeft w:val="0"/>
      <w:marRight w:val="0"/>
      <w:marTop w:val="0"/>
      <w:marBottom w:val="0"/>
      <w:divBdr>
        <w:top w:val="none" w:sz="0" w:space="0" w:color="auto"/>
        <w:left w:val="none" w:sz="0" w:space="0" w:color="auto"/>
        <w:bottom w:val="none" w:sz="0" w:space="0" w:color="auto"/>
        <w:right w:val="none" w:sz="0" w:space="0" w:color="auto"/>
      </w:divBdr>
    </w:div>
    <w:div w:id="235867275">
      <w:bodyDiv w:val="1"/>
      <w:marLeft w:val="0"/>
      <w:marRight w:val="0"/>
      <w:marTop w:val="0"/>
      <w:marBottom w:val="0"/>
      <w:divBdr>
        <w:top w:val="none" w:sz="0" w:space="0" w:color="auto"/>
        <w:left w:val="none" w:sz="0" w:space="0" w:color="auto"/>
        <w:bottom w:val="none" w:sz="0" w:space="0" w:color="auto"/>
        <w:right w:val="none" w:sz="0" w:space="0" w:color="auto"/>
      </w:divBdr>
      <w:divsChild>
        <w:div w:id="1824540334">
          <w:marLeft w:val="0"/>
          <w:marRight w:val="0"/>
          <w:marTop w:val="0"/>
          <w:marBottom w:val="0"/>
          <w:divBdr>
            <w:top w:val="none" w:sz="0" w:space="0" w:color="auto"/>
            <w:left w:val="none" w:sz="0" w:space="0" w:color="auto"/>
            <w:bottom w:val="none" w:sz="0" w:space="0" w:color="auto"/>
            <w:right w:val="none" w:sz="0" w:space="0" w:color="auto"/>
          </w:divBdr>
          <w:divsChild>
            <w:div w:id="14450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894">
      <w:bodyDiv w:val="1"/>
      <w:marLeft w:val="0"/>
      <w:marRight w:val="0"/>
      <w:marTop w:val="0"/>
      <w:marBottom w:val="0"/>
      <w:divBdr>
        <w:top w:val="none" w:sz="0" w:space="0" w:color="auto"/>
        <w:left w:val="none" w:sz="0" w:space="0" w:color="auto"/>
        <w:bottom w:val="none" w:sz="0" w:space="0" w:color="auto"/>
        <w:right w:val="none" w:sz="0" w:space="0" w:color="auto"/>
      </w:divBdr>
      <w:divsChild>
        <w:div w:id="236402952">
          <w:marLeft w:val="0"/>
          <w:marRight w:val="0"/>
          <w:marTop w:val="0"/>
          <w:marBottom w:val="0"/>
          <w:divBdr>
            <w:top w:val="none" w:sz="0" w:space="0" w:color="auto"/>
            <w:left w:val="none" w:sz="0" w:space="0" w:color="auto"/>
            <w:bottom w:val="none" w:sz="0" w:space="0" w:color="auto"/>
            <w:right w:val="none" w:sz="0" w:space="0" w:color="auto"/>
          </w:divBdr>
          <w:divsChild>
            <w:div w:id="10463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1396">
      <w:bodyDiv w:val="1"/>
      <w:marLeft w:val="0"/>
      <w:marRight w:val="0"/>
      <w:marTop w:val="0"/>
      <w:marBottom w:val="0"/>
      <w:divBdr>
        <w:top w:val="none" w:sz="0" w:space="0" w:color="auto"/>
        <w:left w:val="none" w:sz="0" w:space="0" w:color="auto"/>
        <w:bottom w:val="none" w:sz="0" w:space="0" w:color="auto"/>
        <w:right w:val="none" w:sz="0" w:space="0" w:color="auto"/>
      </w:divBdr>
      <w:divsChild>
        <w:div w:id="1067412905">
          <w:marLeft w:val="0"/>
          <w:marRight w:val="0"/>
          <w:marTop w:val="0"/>
          <w:marBottom w:val="0"/>
          <w:divBdr>
            <w:top w:val="none" w:sz="0" w:space="0" w:color="auto"/>
            <w:left w:val="none" w:sz="0" w:space="0" w:color="auto"/>
            <w:bottom w:val="none" w:sz="0" w:space="0" w:color="auto"/>
            <w:right w:val="none" w:sz="0" w:space="0" w:color="auto"/>
          </w:divBdr>
          <w:divsChild>
            <w:div w:id="17664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60575">
      <w:bodyDiv w:val="1"/>
      <w:marLeft w:val="0"/>
      <w:marRight w:val="0"/>
      <w:marTop w:val="0"/>
      <w:marBottom w:val="0"/>
      <w:divBdr>
        <w:top w:val="none" w:sz="0" w:space="0" w:color="auto"/>
        <w:left w:val="none" w:sz="0" w:space="0" w:color="auto"/>
        <w:bottom w:val="none" w:sz="0" w:space="0" w:color="auto"/>
        <w:right w:val="none" w:sz="0" w:space="0" w:color="auto"/>
      </w:divBdr>
      <w:divsChild>
        <w:div w:id="61372875">
          <w:marLeft w:val="0"/>
          <w:marRight w:val="0"/>
          <w:marTop w:val="0"/>
          <w:marBottom w:val="0"/>
          <w:divBdr>
            <w:top w:val="none" w:sz="0" w:space="0" w:color="auto"/>
            <w:left w:val="none" w:sz="0" w:space="0" w:color="auto"/>
            <w:bottom w:val="none" w:sz="0" w:space="0" w:color="auto"/>
            <w:right w:val="none" w:sz="0" w:space="0" w:color="auto"/>
          </w:divBdr>
          <w:divsChild>
            <w:div w:id="35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148">
      <w:bodyDiv w:val="1"/>
      <w:marLeft w:val="0"/>
      <w:marRight w:val="0"/>
      <w:marTop w:val="0"/>
      <w:marBottom w:val="0"/>
      <w:divBdr>
        <w:top w:val="none" w:sz="0" w:space="0" w:color="auto"/>
        <w:left w:val="none" w:sz="0" w:space="0" w:color="auto"/>
        <w:bottom w:val="none" w:sz="0" w:space="0" w:color="auto"/>
        <w:right w:val="none" w:sz="0" w:space="0" w:color="auto"/>
      </w:divBdr>
      <w:divsChild>
        <w:div w:id="1743604008">
          <w:marLeft w:val="0"/>
          <w:marRight w:val="0"/>
          <w:marTop w:val="0"/>
          <w:marBottom w:val="0"/>
          <w:divBdr>
            <w:top w:val="none" w:sz="0" w:space="0" w:color="auto"/>
            <w:left w:val="none" w:sz="0" w:space="0" w:color="auto"/>
            <w:bottom w:val="none" w:sz="0" w:space="0" w:color="auto"/>
            <w:right w:val="none" w:sz="0" w:space="0" w:color="auto"/>
          </w:divBdr>
          <w:divsChild>
            <w:div w:id="20529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3958">
      <w:bodyDiv w:val="1"/>
      <w:marLeft w:val="0"/>
      <w:marRight w:val="0"/>
      <w:marTop w:val="0"/>
      <w:marBottom w:val="0"/>
      <w:divBdr>
        <w:top w:val="none" w:sz="0" w:space="0" w:color="auto"/>
        <w:left w:val="none" w:sz="0" w:space="0" w:color="auto"/>
        <w:bottom w:val="none" w:sz="0" w:space="0" w:color="auto"/>
        <w:right w:val="none" w:sz="0" w:space="0" w:color="auto"/>
      </w:divBdr>
      <w:divsChild>
        <w:div w:id="1847358646">
          <w:marLeft w:val="0"/>
          <w:marRight w:val="0"/>
          <w:marTop w:val="0"/>
          <w:marBottom w:val="0"/>
          <w:divBdr>
            <w:top w:val="none" w:sz="0" w:space="0" w:color="auto"/>
            <w:left w:val="none" w:sz="0" w:space="0" w:color="auto"/>
            <w:bottom w:val="none" w:sz="0" w:space="0" w:color="auto"/>
            <w:right w:val="none" w:sz="0" w:space="0" w:color="auto"/>
          </w:divBdr>
          <w:divsChild>
            <w:div w:id="8104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06805">
      <w:bodyDiv w:val="1"/>
      <w:marLeft w:val="0"/>
      <w:marRight w:val="0"/>
      <w:marTop w:val="0"/>
      <w:marBottom w:val="0"/>
      <w:divBdr>
        <w:top w:val="none" w:sz="0" w:space="0" w:color="auto"/>
        <w:left w:val="none" w:sz="0" w:space="0" w:color="auto"/>
        <w:bottom w:val="none" w:sz="0" w:space="0" w:color="auto"/>
        <w:right w:val="none" w:sz="0" w:space="0" w:color="auto"/>
      </w:divBdr>
      <w:divsChild>
        <w:div w:id="1872765582">
          <w:marLeft w:val="0"/>
          <w:marRight w:val="0"/>
          <w:marTop w:val="0"/>
          <w:marBottom w:val="0"/>
          <w:divBdr>
            <w:top w:val="none" w:sz="0" w:space="0" w:color="auto"/>
            <w:left w:val="none" w:sz="0" w:space="0" w:color="auto"/>
            <w:bottom w:val="none" w:sz="0" w:space="0" w:color="auto"/>
            <w:right w:val="none" w:sz="0" w:space="0" w:color="auto"/>
          </w:divBdr>
        </w:div>
        <w:div w:id="873075165">
          <w:marLeft w:val="0"/>
          <w:marRight w:val="0"/>
          <w:marTop w:val="0"/>
          <w:marBottom w:val="0"/>
          <w:divBdr>
            <w:top w:val="none" w:sz="0" w:space="0" w:color="auto"/>
            <w:left w:val="none" w:sz="0" w:space="0" w:color="auto"/>
            <w:bottom w:val="none" w:sz="0" w:space="0" w:color="auto"/>
            <w:right w:val="none" w:sz="0" w:space="0" w:color="auto"/>
          </w:divBdr>
        </w:div>
        <w:div w:id="1501698167">
          <w:marLeft w:val="0"/>
          <w:marRight w:val="0"/>
          <w:marTop w:val="0"/>
          <w:marBottom w:val="0"/>
          <w:divBdr>
            <w:top w:val="none" w:sz="0" w:space="0" w:color="auto"/>
            <w:left w:val="none" w:sz="0" w:space="0" w:color="auto"/>
            <w:bottom w:val="none" w:sz="0" w:space="0" w:color="auto"/>
            <w:right w:val="none" w:sz="0" w:space="0" w:color="auto"/>
          </w:divBdr>
        </w:div>
        <w:div w:id="353072830">
          <w:marLeft w:val="0"/>
          <w:marRight w:val="0"/>
          <w:marTop w:val="0"/>
          <w:marBottom w:val="0"/>
          <w:divBdr>
            <w:top w:val="none" w:sz="0" w:space="0" w:color="auto"/>
            <w:left w:val="none" w:sz="0" w:space="0" w:color="auto"/>
            <w:bottom w:val="none" w:sz="0" w:space="0" w:color="auto"/>
            <w:right w:val="none" w:sz="0" w:space="0" w:color="auto"/>
          </w:divBdr>
        </w:div>
        <w:div w:id="222445409">
          <w:marLeft w:val="0"/>
          <w:marRight w:val="0"/>
          <w:marTop w:val="0"/>
          <w:marBottom w:val="0"/>
          <w:divBdr>
            <w:top w:val="none" w:sz="0" w:space="0" w:color="auto"/>
            <w:left w:val="none" w:sz="0" w:space="0" w:color="auto"/>
            <w:bottom w:val="none" w:sz="0" w:space="0" w:color="auto"/>
            <w:right w:val="none" w:sz="0" w:space="0" w:color="auto"/>
          </w:divBdr>
        </w:div>
        <w:div w:id="335304594">
          <w:marLeft w:val="0"/>
          <w:marRight w:val="0"/>
          <w:marTop w:val="0"/>
          <w:marBottom w:val="0"/>
          <w:divBdr>
            <w:top w:val="none" w:sz="0" w:space="0" w:color="auto"/>
            <w:left w:val="none" w:sz="0" w:space="0" w:color="auto"/>
            <w:bottom w:val="none" w:sz="0" w:space="0" w:color="auto"/>
            <w:right w:val="none" w:sz="0" w:space="0" w:color="auto"/>
          </w:divBdr>
        </w:div>
        <w:div w:id="190800752">
          <w:marLeft w:val="0"/>
          <w:marRight w:val="0"/>
          <w:marTop w:val="0"/>
          <w:marBottom w:val="0"/>
          <w:divBdr>
            <w:top w:val="none" w:sz="0" w:space="0" w:color="auto"/>
            <w:left w:val="none" w:sz="0" w:space="0" w:color="auto"/>
            <w:bottom w:val="none" w:sz="0" w:space="0" w:color="auto"/>
            <w:right w:val="none" w:sz="0" w:space="0" w:color="auto"/>
          </w:divBdr>
        </w:div>
        <w:div w:id="1615290706">
          <w:marLeft w:val="0"/>
          <w:marRight w:val="0"/>
          <w:marTop w:val="0"/>
          <w:marBottom w:val="0"/>
          <w:divBdr>
            <w:top w:val="none" w:sz="0" w:space="0" w:color="auto"/>
            <w:left w:val="none" w:sz="0" w:space="0" w:color="auto"/>
            <w:bottom w:val="none" w:sz="0" w:space="0" w:color="auto"/>
            <w:right w:val="none" w:sz="0" w:space="0" w:color="auto"/>
          </w:divBdr>
        </w:div>
        <w:div w:id="590698727">
          <w:marLeft w:val="0"/>
          <w:marRight w:val="0"/>
          <w:marTop w:val="0"/>
          <w:marBottom w:val="0"/>
          <w:divBdr>
            <w:top w:val="none" w:sz="0" w:space="0" w:color="auto"/>
            <w:left w:val="none" w:sz="0" w:space="0" w:color="auto"/>
            <w:bottom w:val="none" w:sz="0" w:space="0" w:color="auto"/>
            <w:right w:val="none" w:sz="0" w:space="0" w:color="auto"/>
          </w:divBdr>
        </w:div>
        <w:div w:id="929508753">
          <w:marLeft w:val="0"/>
          <w:marRight w:val="0"/>
          <w:marTop w:val="0"/>
          <w:marBottom w:val="0"/>
          <w:divBdr>
            <w:top w:val="none" w:sz="0" w:space="0" w:color="auto"/>
            <w:left w:val="none" w:sz="0" w:space="0" w:color="auto"/>
            <w:bottom w:val="none" w:sz="0" w:space="0" w:color="auto"/>
            <w:right w:val="none" w:sz="0" w:space="0" w:color="auto"/>
          </w:divBdr>
        </w:div>
        <w:div w:id="442577054">
          <w:marLeft w:val="0"/>
          <w:marRight w:val="0"/>
          <w:marTop w:val="0"/>
          <w:marBottom w:val="0"/>
          <w:divBdr>
            <w:top w:val="none" w:sz="0" w:space="0" w:color="auto"/>
            <w:left w:val="none" w:sz="0" w:space="0" w:color="auto"/>
            <w:bottom w:val="none" w:sz="0" w:space="0" w:color="auto"/>
            <w:right w:val="none" w:sz="0" w:space="0" w:color="auto"/>
          </w:divBdr>
        </w:div>
        <w:div w:id="1116218501">
          <w:marLeft w:val="0"/>
          <w:marRight w:val="0"/>
          <w:marTop w:val="0"/>
          <w:marBottom w:val="0"/>
          <w:divBdr>
            <w:top w:val="none" w:sz="0" w:space="0" w:color="auto"/>
            <w:left w:val="none" w:sz="0" w:space="0" w:color="auto"/>
            <w:bottom w:val="none" w:sz="0" w:space="0" w:color="auto"/>
            <w:right w:val="none" w:sz="0" w:space="0" w:color="auto"/>
          </w:divBdr>
        </w:div>
        <w:div w:id="249194719">
          <w:marLeft w:val="0"/>
          <w:marRight w:val="0"/>
          <w:marTop w:val="0"/>
          <w:marBottom w:val="0"/>
          <w:divBdr>
            <w:top w:val="none" w:sz="0" w:space="0" w:color="auto"/>
            <w:left w:val="none" w:sz="0" w:space="0" w:color="auto"/>
            <w:bottom w:val="none" w:sz="0" w:space="0" w:color="auto"/>
            <w:right w:val="none" w:sz="0" w:space="0" w:color="auto"/>
          </w:divBdr>
        </w:div>
        <w:div w:id="1611084604">
          <w:marLeft w:val="0"/>
          <w:marRight w:val="0"/>
          <w:marTop w:val="0"/>
          <w:marBottom w:val="0"/>
          <w:divBdr>
            <w:top w:val="none" w:sz="0" w:space="0" w:color="auto"/>
            <w:left w:val="none" w:sz="0" w:space="0" w:color="auto"/>
            <w:bottom w:val="none" w:sz="0" w:space="0" w:color="auto"/>
            <w:right w:val="none" w:sz="0" w:space="0" w:color="auto"/>
          </w:divBdr>
        </w:div>
        <w:div w:id="644972115">
          <w:marLeft w:val="0"/>
          <w:marRight w:val="0"/>
          <w:marTop w:val="0"/>
          <w:marBottom w:val="0"/>
          <w:divBdr>
            <w:top w:val="none" w:sz="0" w:space="0" w:color="auto"/>
            <w:left w:val="none" w:sz="0" w:space="0" w:color="auto"/>
            <w:bottom w:val="none" w:sz="0" w:space="0" w:color="auto"/>
            <w:right w:val="none" w:sz="0" w:space="0" w:color="auto"/>
          </w:divBdr>
        </w:div>
        <w:div w:id="1708600629">
          <w:marLeft w:val="0"/>
          <w:marRight w:val="0"/>
          <w:marTop w:val="0"/>
          <w:marBottom w:val="0"/>
          <w:divBdr>
            <w:top w:val="none" w:sz="0" w:space="0" w:color="auto"/>
            <w:left w:val="none" w:sz="0" w:space="0" w:color="auto"/>
            <w:bottom w:val="none" w:sz="0" w:space="0" w:color="auto"/>
            <w:right w:val="none" w:sz="0" w:space="0" w:color="auto"/>
          </w:divBdr>
        </w:div>
        <w:div w:id="1833183397">
          <w:marLeft w:val="0"/>
          <w:marRight w:val="0"/>
          <w:marTop w:val="0"/>
          <w:marBottom w:val="0"/>
          <w:divBdr>
            <w:top w:val="none" w:sz="0" w:space="0" w:color="auto"/>
            <w:left w:val="none" w:sz="0" w:space="0" w:color="auto"/>
            <w:bottom w:val="none" w:sz="0" w:space="0" w:color="auto"/>
            <w:right w:val="none" w:sz="0" w:space="0" w:color="auto"/>
          </w:divBdr>
        </w:div>
        <w:div w:id="1305892250">
          <w:marLeft w:val="0"/>
          <w:marRight w:val="0"/>
          <w:marTop w:val="0"/>
          <w:marBottom w:val="0"/>
          <w:divBdr>
            <w:top w:val="none" w:sz="0" w:space="0" w:color="auto"/>
            <w:left w:val="none" w:sz="0" w:space="0" w:color="auto"/>
            <w:bottom w:val="none" w:sz="0" w:space="0" w:color="auto"/>
            <w:right w:val="none" w:sz="0" w:space="0" w:color="auto"/>
          </w:divBdr>
        </w:div>
        <w:div w:id="637538558">
          <w:marLeft w:val="0"/>
          <w:marRight w:val="0"/>
          <w:marTop w:val="0"/>
          <w:marBottom w:val="0"/>
          <w:divBdr>
            <w:top w:val="none" w:sz="0" w:space="0" w:color="auto"/>
            <w:left w:val="none" w:sz="0" w:space="0" w:color="auto"/>
            <w:bottom w:val="none" w:sz="0" w:space="0" w:color="auto"/>
            <w:right w:val="none" w:sz="0" w:space="0" w:color="auto"/>
          </w:divBdr>
        </w:div>
        <w:div w:id="1608388511">
          <w:marLeft w:val="0"/>
          <w:marRight w:val="0"/>
          <w:marTop w:val="0"/>
          <w:marBottom w:val="0"/>
          <w:divBdr>
            <w:top w:val="none" w:sz="0" w:space="0" w:color="auto"/>
            <w:left w:val="none" w:sz="0" w:space="0" w:color="auto"/>
            <w:bottom w:val="none" w:sz="0" w:space="0" w:color="auto"/>
            <w:right w:val="none" w:sz="0" w:space="0" w:color="auto"/>
          </w:divBdr>
        </w:div>
        <w:div w:id="1230964824">
          <w:marLeft w:val="0"/>
          <w:marRight w:val="0"/>
          <w:marTop w:val="0"/>
          <w:marBottom w:val="0"/>
          <w:divBdr>
            <w:top w:val="none" w:sz="0" w:space="0" w:color="auto"/>
            <w:left w:val="none" w:sz="0" w:space="0" w:color="auto"/>
            <w:bottom w:val="none" w:sz="0" w:space="0" w:color="auto"/>
            <w:right w:val="none" w:sz="0" w:space="0" w:color="auto"/>
          </w:divBdr>
        </w:div>
        <w:div w:id="660164233">
          <w:marLeft w:val="0"/>
          <w:marRight w:val="0"/>
          <w:marTop w:val="0"/>
          <w:marBottom w:val="0"/>
          <w:divBdr>
            <w:top w:val="none" w:sz="0" w:space="0" w:color="auto"/>
            <w:left w:val="none" w:sz="0" w:space="0" w:color="auto"/>
            <w:bottom w:val="none" w:sz="0" w:space="0" w:color="auto"/>
            <w:right w:val="none" w:sz="0" w:space="0" w:color="auto"/>
          </w:divBdr>
        </w:div>
        <w:div w:id="1950045545">
          <w:marLeft w:val="0"/>
          <w:marRight w:val="0"/>
          <w:marTop w:val="0"/>
          <w:marBottom w:val="0"/>
          <w:divBdr>
            <w:top w:val="none" w:sz="0" w:space="0" w:color="auto"/>
            <w:left w:val="none" w:sz="0" w:space="0" w:color="auto"/>
            <w:bottom w:val="none" w:sz="0" w:space="0" w:color="auto"/>
            <w:right w:val="none" w:sz="0" w:space="0" w:color="auto"/>
          </w:divBdr>
        </w:div>
        <w:div w:id="831019996">
          <w:marLeft w:val="0"/>
          <w:marRight w:val="0"/>
          <w:marTop w:val="0"/>
          <w:marBottom w:val="0"/>
          <w:divBdr>
            <w:top w:val="none" w:sz="0" w:space="0" w:color="auto"/>
            <w:left w:val="none" w:sz="0" w:space="0" w:color="auto"/>
            <w:bottom w:val="none" w:sz="0" w:space="0" w:color="auto"/>
            <w:right w:val="none" w:sz="0" w:space="0" w:color="auto"/>
          </w:divBdr>
        </w:div>
        <w:div w:id="462430065">
          <w:marLeft w:val="0"/>
          <w:marRight w:val="0"/>
          <w:marTop w:val="0"/>
          <w:marBottom w:val="0"/>
          <w:divBdr>
            <w:top w:val="none" w:sz="0" w:space="0" w:color="auto"/>
            <w:left w:val="none" w:sz="0" w:space="0" w:color="auto"/>
            <w:bottom w:val="none" w:sz="0" w:space="0" w:color="auto"/>
            <w:right w:val="none" w:sz="0" w:space="0" w:color="auto"/>
          </w:divBdr>
        </w:div>
        <w:div w:id="1121654125">
          <w:marLeft w:val="0"/>
          <w:marRight w:val="0"/>
          <w:marTop w:val="0"/>
          <w:marBottom w:val="0"/>
          <w:divBdr>
            <w:top w:val="none" w:sz="0" w:space="0" w:color="auto"/>
            <w:left w:val="none" w:sz="0" w:space="0" w:color="auto"/>
            <w:bottom w:val="none" w:sz="0" w:space="0" w:color="auto"/>
            <w:right w:val="none" w:sz="0" w:space="0" w:color="auto"/>
          </w:divBdr>
        </w:div>
        <w:div w:id="162400275">
          <w:marLeft w:val="0"/>
          <w:marRight w:val="0"/>
          <w:marTop w:val="0"/>
          <w:marBottom w:val="0"/>
          <w:divBdr>
            <w:top w:val="none" w:sz="0" w:space="0" w:color="auto"/>
            <w:left w:val="none" w:sz="0" w:space="0" w:color="auto"/>
            <w:bottom w:val="none" w:sz="0" w:space="0" w:color="auto"/>
            <w:right w:val="none" w:sz="0" w:space="0" w:color="auto"/>
          </w:divBdr>
        </w:div>
        <w:div w:id="1193224921">
          <w:marLeft w:val="0"/>
          <w:marRight w:val="0"/>
          <w:marTop w:val="0"/>
          <w:marBottom w:val="0"/>
          <w:divBdr>
            <w:top w:val="none" w:sz="0" w:space="0" w:color="auto"/>
            <w:left w:val="none" w:sz="0" w:space="0" w:color="auto"/>
            <w:bottom w:val="none" w:sz="0" w:space="0" w:color="auto"/>
            <w:right w:val="none" w:sz="0" w:space="0" w:color="auto"/>
          </w:divBdr>
        </w:div>
        <w:div w:id="1273510843">
          <w:marLeft w:val="0"/>
          <w:marRight w:val="0"/>
          <w:marTop w:val="0"/>
          <w:marBottom w:val="0"/>
          <w:divBdr>
            <w:top w:val="none" w:sz="0" w:space="0" w:color="auto"/>
            <w:left w:val="none" w:sz="0" w:space="0" w:color="auto"/>
            <w:bottom w:val="none" w:sz="0" w:space="0" w:color="auto"/>
            <w:right w:val="none" w:sz="0" w:space="0" w:color="auto"/>
          </w:divBdr>
        </w:div>
        <w:div w:id="261648068">
          <w:marLeft w:val="0"/>
          <w:marRight w:val="0"/>
          <w:marTop w:val="0"/>
          <w:marBottom w:val="0"/>
          <w:divBdr>
            <w:top w:val="none" w:sz="0" w:space="0" w:color="auto"/>
            <w:left w:val="none" w:sz="0" w:space="0" w:color="auto"/>
            <w:bottom w:val="none" w:sz="0" w:space="0" w:color="auto"/>
            <w:right w:val="none" w:sz="0" w:space="0" w:color="auto"/>
          </w:divBdr>
        </w:div>
        <w:div w:id="1925262533">
          <w:marLeft w:val="0"/>
          <w:marRight w:val="0"/>
          <w:marTop w:val="0"/>
          <w:marBottom w:val="0"/>
          <w:divBdr>
            <w:top w:val="none" w:sz="0" w:space="0" w:color="auto"/>
            <w:left w:val="none" w:sz="0" w:space="0" w:color="auto"/>
            <w:bottom w:val="none" w:sz="0" w:space="0" w:color="auto"/>
            <w:right w:val="none" w:sz="0" w:space="0" w:color="auto"/>
          </w:divBdr>
        </w:div>
        <w:div w:id="508717682">
          <w:marLeft w:val="0"/>
          <w:marRight w:val="0"/>
          <w:marTop w:val="0"/>
          <w:marBottom w:val="0"/>
          <w:divBdr>
            <w:top w:val="none" w:sz="0" w:space="0" w:color="auto"/>
            <w:left w:val="none" w:sz="0" w:space="0" w:color="auto"/>
            <w:bottom w:val="none" w:sz="0" w:space="0" w:color="auto"/>
            <w:right w:val="none" w:sz="0" w:space="0" w:color="auto"/>
          </w:divBdr>
        </w:div>
      </w:divsChild>
    </w:div>
    <w:div w:id="838156481">
      <w:bodyDiv w:val="1"/>
      <w:marLeft w:val="0"/>
      <w:marRight w:val="0"/>
      <w:marTop w:val="0"/>
      <w:marBottom w:val="0"/>
      <w:divBdr>
        <w:top w:val="none" w:sz="0" w:space="0" w:color="auto"/>
        <w:left w:val="none" w:sz="0" w:space="0" w:color="auto"/>
        <w:bottom w:val="none" w:sz="0" w:space="0" w:color="auto"/>
        <w:right w:val="none" w:sz="0" w:space="0" w:color="auto"/>
      </w:divBdr>
      <w:divsChild>
        <w:div w:id="376128071">
          <w:marLeft w:val="0"/>
          <w:marRight w:val="0"/>
          <w:marTop w:val="0"/>
          <w:marBottom w:val="0"/>
          <w:divBdr>
            <w:top w:val="none" w:sz="0" w:space="0" w:color="auto"/>
            <w:left w:val="none" w:sz="0" w:space="0" w:color="auto"/>
            <w:bottom w:val="none" w:sz="0" w:space="0" w:color="auto"/>
            <w:right w:val="none" w:sz="0" w:space="0" w:color="auto"/>
          </w:divBdr>
          <w:divsChild>
            <w:div w:id="14303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80128">
      <w:bodyDiv w:val="1"/>
      <w:marLeft w:val="0"/>
      <w:marRight w:val="0"/>
      <w:marTop w:val="0"/>
      <w:marBottom w:val="0"/>
      <w:divBdr>
        <w:top w:val="none" w:sz="0" w:space="0" w:color="auto"/>
        <w:left w:val="none" w:sz="0" w:space="0" w:color="auto"/>
        <w:bottom w:val="none" w:sz="0" w:space="0" w:color="auto"/>
        <w:right w:val="none" w:sz="0" w:space="0" w:color="auto"/>
      </w:divBdr>
      <w:divsChild>
        <w:div w:id="1542865038">
          <w:marLeft w:val="0"/>
          <w:marRight w:val="0"/>
          <w:marTop w:val="0"/>
          <w:marBottom w:val="0"/>
          <w:divBdr>
            <w:top w:val="none" w:sz="0" w:space="0" w:color="auto"/>
            <w:left w:val="none" w:sz="0" w:space="0" w:color="auto"/>
            <w:bottom w:val="none" w:sz="0" w:space="0" w:color="auto"/>
            <w:right w:val="none" w:sz="0" w:space="0" w:color="auto"/>
          </w:divBdr>
          <w:divsChild>
            <w:div w:id="18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1359">
      <w:bodyDiv w:val="1"/>
      <w:marLeft w:val="0"/>
      <w:marRight w:val="0"/>
      <w:marTop w:val="0"/>
      <w:marBottom w:val="0"/>
      <w:divBdr>
        <w:top w:val="none" w:sz="0" w:space="0" w:color="auto"/>
        <w:left w:val="none" w:sz="0" w:space="0" w:color="auto"/>
        <w:bottom w:val="none" w:sz="0" w:space="0" w:color="auto"/>
        <w:right w:val="none" w:sz="0" w:space="0" w:color="auto"/>
      </w:divBdr>
      <w:divsChild>
        <w:div w:id="344596684">
          <w:marLeft w:val="0"/>
          <w:marRight w:val="0"/>
          <w:marTop w:val="0"/>
          <w:marBottom w:val="0"/>
          <w:divBdr>
            <w:top w:val="none" w:sz="0" w:space="0" w:color="auto"/>
            <w:left w:val="none" w:sz="0" w:space="0" w:color="auto"/>
            <w:bottom w:val="none" w:sz="0" w:space="0" w:color="auto"/>
            <w:right w:val="none" w:sz="0" w:space="0" w:color="auto"/>
          </w:divBdr>
          <w:divsChild>
            <w:div w:id="11919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5716">
      <w:bodyDiv w:val="1"/>
      <w:marLeft w:val="0"/>
      <w:marRight w:val="0"/>
      <w:marTop w:val="0"/>
      <w:marBottom w:val="0"/>
      <w:divBdr>
        <w:top w:val="none" w:sz="0" w:space="0" w:color="auto"/>
        <w:left w:val="none" w:sz="0" w:space="0" w:color="auto"/>
        <w:bottom w:val="none" w:sz="0" w:space="0" w:color="auto"/>
        <w:right w:val="none" w:sz="0" w:space="0" w:color="auto"/>
      </w:divBdr>
    </w:div>
    <w:div w:id="1186479850">
      <w:bodyDiv w:val="1"/>
      <w:marLeft w:val="0"/>
      <w:marRight w:val="0"/>
      <w:marTop w:val="0"/>
      <w:marBottom w:val="0"/>
      <w:divBdr>
        <w:top w:val="none" w:sz="0" w:space="0" w:color="auto"/>
        <w:left w:val="none" w:sz="0" w:space="0" w:color="auto"/>
        <w:bottom w:val="none" w:sz="0" w:space="0" w:color="auto"/>
        <w:right w:val="none" w:sz="0" w:space="0" w:color="auto"/>
      </w:divBdr>
      <w:divsChild>
        <w:div w:id="316693062">
          <w:marLeft w:val="0"/>
          <w:marRight w:val="0"/>
          <w:marTop w:val="0"/>
          <w:marBottom w:val="0"/>
          <w:divBdr>
            <w:top w:val="none" w:sz="0" w:space="0" w:color="auto"/>
            <w:left w:val="none" w:sz="0" w:space="0" w:color="auto"/>
            <w:bottom w:val="none" w:sz="0" w:space="0" w:color="auto"/>
            <w:right w:val="none" w:sz="0" w:space="0" w:color="auto"/>
          </w:divBdr>
        </w:div>
        <w:div w:id="570046169">
          <w:marLeft w:val="0"/>
          <w:marRight w:val="0"/>
          <w:marTop w:val="0"/>
          <w:marBottom w:val="0"/>
          <w:divBdr>
            <w:top w:val="none" w:sz="0" w:space="0" w:color="auto"/>
            <w:left w:val="none" w:sz="0" w:space="0" w:color="auto"/>
            <w:bottom w:val="none" w:sz="0" w:space="0" w:color="auto"/>
            <w:right w:val="none" w:sz="0" w:space="0" w:color="auto"/>
          </w:divBdr>
        </w:div>
        <w:div w:id="805510858">
          <w:marLeft w:val="0"/>
          <w:marRight w:val="0"/>
          <w:marTop w:val="0"/>
          <w:marBottom w:val="0"/>
          <w:divBdr>
            <w:top w:val="none" w:sz="0" w:space="0" w:color="auto"/>
            <w:left w:val="none" w:sz="0" w:space="0" w:color="auto"/>
            <w:bottom w:val="none" w:sz="0" w:space="0" w:color="auto"/>
            <w:right w:val="none" w:sz="0" w:space="0" w:color="auto"/>
          </w:divBdr>
        </w:div>
        <w:div w:id="825437462">
          <w:marLeft w:val="0"/>
          <w:marRight w:val="0"/>
          <w:marTop w:val="0"/>
          <w:marBottom w:val="0"/>
          <w:divBdr>
            <w:top w:val="none" w:sz="0" w:space="0" w:color="auto"/>
            <w:left w:val="none" w:sz="0" w:space="0" w:color="auto"/>
            <w:bottom w:val="none" w:sz="0" w:space="0" w:color="auto"/>
            <w:right w:val="none" w:sz="0" w:space="0" w:color="auto"/>
          </w:divBdr>
        </w:div>
        <w:div w:id="862323235">
          <w:marLeft w:val="0"/>
          <w:marRight w:val="0"/>
          <w:marTop w:val="0"/>
          <w:marBottom w:val="0"/>
          <w:divBdr>
            <w:top w:val="none" w:sz="0" w:space="0" w:color="auto"/>
            <w:left w:val="none" w:sz="0" w:space="0" w:color="auto"/>
            <w:bottom w:val="none" w:sz="0" w:space="0" w:color="auto"/>
            <w:right w:val="none" w:sz="0" w:space="0" w:color="auto"/>
          </w:divBdr>
        </w:div>
      </w:divsChild>
    </w:div>
    <w:div w:id="1263146527">
      <w:bodyDiv w:val="1"/>
      <w:marLeft w:val="0"/>
      <w:marRight w:val="0"/>
      <w:marTop w:val="0"/>
      <w:marBottom w:val="0"/>
      <w:divBdr>
        <w:top w:val="none" w:sz="0" w:space="0" w:color="auto"/>
        <w:left w:val="none" w:sz="0" w:space="0" w:color="auto"/>
        <w:bottom w:val="none" w:sz="0" w:space="0" w:color="auto"/>
        <w:right w:val="none" w:sz="0" w:space="0" w:color="auto"/>
      </w:divBdr>
    </w:div>
    <w:div w:id="1467308306">
      <w:bodyDiv w:val="1"/>
      <w:marLeft w:val="0"/>
      <w:marRight w:val="0"/>
      <w:marTop w:val="0"/>
      <w:marBottom w:val="0"/>
      <w:divBdr>
        <w:top w:val="none" w:sz="0" w:space="0" w:color="auto"/>
        <w:left w:val="none" w:sz="0" w:space="0" w:color="auto"/>
        <w:bottom w:val="none" w:sz="0" w:space="0" w:color="auto"/>
        <w:right w:val="none" w:sz="0" w:space="0" w:color="auto"/>
      </w:divBdr>
    </w:div>
    <w:div w:id="1566337814">
      <w:bodyDiv w:val="1"/>
      <w:marLeft w:val="0"/>
      <w:marRight w:val="0"/>
      <w:marTop w:val="0"/>
      <w:marBottom w:val="0"/>
      <w:divBdr>
        <w:top w:val="none" w:sz="0" w:space="0" w:color="auto"/>
        <w:left w:val="none" w:sz="0" w:space="0" w:color="auto"/>
        <w:bottom w:val="none" w:sz="0" w:space="0" w:color="auto"/>
        <w:right w:val="none" w:sz="0" w:space="0" w:color="auto"/>
      </w:divBdr>
      <w:divsChild>
        <w:div w:id="1493448263">
          <w:marLeft w:val="0"/>
          <w:marRight w:val="0"/>
          <w:marTop w:val="0"/>
          <w:marBottom w:val="0"/>
          <w:divBdr>
            <w:top w:val="none" w:sz="0" w:space="0" w:color="auto"/>
            <w:left w:val="none" w:sz="0" w:space="0" w:color="auto"/>
            <w:bottom w:val="none" w:sz="0" w:space="0" w:color="auto"/>
            <w:right w:val="none" w:sz="0" w:space="0" w:color="auto"/>
          </w:divBdr>
          <w:divsChild>
            <w:div w:id="1495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25320">
      <w:bodyDiv w:val="1"/>
      <w:marLeft w:val="0"/>
      <w:marRight w:val="0"/>
      <w:marTop w:val="0"/>
      <w:marBottom w:val="0"/>
      <w:divBdr>
        <w:top w:val="none" w:sz="0" w:space="0" w:color="auto"/>
        <w:left w:val="none" w:sz="0" w:space="0" w:color="auto"/>
        <w:bottom w:val="none" w:sz="0" w:space="0" w:color="auto"/>
        <w:right w:val="none" w:sz="0" w:space="0" w:color="auto"/>
      </w:divBdr>
    </w:div>
    <w:div w:id="1966504509">
      <w:bodyDiv w:val="1"/>
      <w:marLeft w:val="0"/>
      <w:marRight w:val="0"/>
      <w:marTop w:val="0"/>
      <w:marBottom w:val="0"/>
      <w:divBdr>
        <w:top w:val="none" w:sz="0" w:space="0" w:color="auto"/>
        <w:left w:val="none" w:sz="0" w:space="0" w:color="auto"/>
        <w:bottom w:val="none" w:sz="0" w:space="0" w:color="auto"/>
        <w:right w:val="none" w:sz="0" w:space="0" w:color="auto"/>
      </w:divBdr>
    </w:div>
    <w:div w:id="2095741358">
      <w:bodyDiv w:val="1"/>
      <w:marLeft w:val="0"/>
      <w:marRight w:val="0"/>
      <w:marTop w:val="0"/>
      <w:marBottom w:val="0"/>
      <w:divBdr>
        <w:top w:val="none" w:sz="0" w:space="0" w:color="auto"/>
        <w:left w:val="none" w:sz="0" w:space="0" w:color="auto"/>
        <w:bottom w:val="none" w:sz="0" w:space="0" w:color="auto"/>
        <w:right w:val="none" w:sz="0" w:space="0" w:color="auto"/>
      </w:divBdr>
      <w:divsChild>
        <w:div w:id="564142703">
          <w:marLeft w:val="0"/>
          <w:marRight w:val="0"/>
          <w:marTop w:val="0"/>
          <w:marBottom w:val="0"/>
          <w:divBdr>
            <w:top w:val="none" w:sz="0" w:space="0" w:color="auto"/>
            <w:left w:val="none" w:sz="0" w:space="0" w:color="auto"/>
            <w:bottom w:val="none" w:sz="0" w:space="0" w:color="auto"/>
            <w:right w:val="none" w:sz="0" w:space="0" w:color="auto"/>
          </w:divBdr>
          <w:divsChild>
            <w:div w:id="12279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016">
      <w:bodyDiv w:val="1"/>
      <w:marLeft w:val="0"/>
      <w:marRight w:val="0"/>
      <w:marTop w:val="0"/>
      <w:marBottom w:val="0"/>
      <w:divBdr>
        <w:top w:val="none" w:sz="0" w:space="0" w:color="auto"/>
        <w:left w:val="none" w:sz="0" w:space="0" w:color="auto"/>
        <w:bottom w:val="none" w:sz="0" w:space="0" w:color="auto"/>
        <w:right w:val="none" w:sz="0" w:space="0" w:color="auto"/>
      </w:divBdr>
      <w:divsChild>
        <w:div w:id="914390695">
          <w:marLeft w:val="0"/>
          <w:marRight w:val="0"/>
          <w:marTop w:val="0"/>
          <w:marBottom w:val="0"/>
          <w:divBdr>
            <w:top w:val="none" w:sz="0" w:space="0" w:color="auto"/>
            <w:left w:val="none" w:sz="0" w:space="0" w:color="auto"/>
            <w:bottom w:val="none" w:sz="0" w:space="0" w:color="auto"/>
            <w:right w:val="none" w:sz="0" w:space="0" w:color="auto"/>
          </w:divBdr>
          <w:divsChild>
            <w:div w:id="17048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svg"/><Relationship Id="rId21" Type="http://schemas.openxmlformats.org/officeDocument/2006/relationships/image" Target="media/image5.png"/><Relationship Id="rId34" Type="http://schemas.openxmlformats.org/officeDocument/2006/relationships/hyperlink" Target="http://www5.austlii.edu.au/au/legis/vic/consol_act/cohrara2006433/s11.html" TargetMode="External"/><Relationship Id="rId42" Type="http://schemas.openxmlformats.org/officeDocument/2006/relationships/image" Target="media/image17.png"/><Relationship Id="rId47" Type="http://schemas.openxmlformats.org/officeDocument/2006/relationships/image" Target="media/image22.png"/><Relationship Id="rId50" Type="http://schemas.openxmlformats.org/officeDocument/2006/relationships/image" Target="media/image25.png"/><Relationship Id="rId55" Type="http://schemas.openxmlformats.org/officeDocument/2006/relationships/image" Target="media/image30.png"/><Relationship Id="rId63"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12.png"/><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hyperlink" Target="http://www5.austlii.edu.au/au/legis/vic/consol_act/cohrara2006433/s3.html" TargetMode="External"/><Relationship Id="rId40" Type="http://schemas.openxmlformats.org/officeDocument/2006/relationships/hyperlink" Target="http://www5.austlii.edu.au/au/legis/vic/consol_act/cohrara2006433/s3.html" TargetMode="External"/><Relationship Id="rId45" Type="http://schemas.openxmlformats.org/officeDocument/2006/relationships/image" Target="media/image20.png"/><Relationship Id="rId53" Type="http://schemas.openxmlformats.org/officeDocument/2006/relationships/image" Target="media/image28.png"/><Relationship Id="rId58" Type="http://schemas.openxmlformats.org/officeDocument/2006/relationships/hyperlink" Target="https://www.humanrights.vic.gov.au/resources/the-charter-of-human-rights-and-responsibilities-a-guide-for-victorian-public-sector-workers-jul-2019/"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ombudsman.vic.gov.au/learn-from-us/practice-guides/how-to-manage-complaints-involving-human-rights/" TargetMode="External"/><Relationship Id="rId19" Type="http://schemas.openxmlformats.org/officeDocument/2006/relationships/hyperlink" Target="https://creativecommons.org/licenses/by-nc-sa/4.0/" TargetMode="Externa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image" Target="media/image13.svg"/><Relationship Id="rId35" Type="http://schemas.openxmlformats.org/officeDocument/2006/relationships/hyperlink" Target="http://www5.austlii.edu.au/au/legis/vic/consol_act/cohrara2006433/s11.html" TargetMode="External"/><Relationship Id="rId43" Type="http://schemas.openxmlformats.org/officeDocument/2006/relationships/image" Target="media/image18.png"/><Relationship Id="rId48" Type="http://schemas.openxmlformats.org/officeDocument/2006/relationships/image" Target="media/image23.png"/><Relationship Id="rId56" Type="http://schemas.openxmlformats.org/officeDocument/2006/relationships/image" Target="media/image31.png"/><Relationship Id="rId64"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image" Target="media/image26.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creativecommons.org/licenses/by-nc-sa/4.0/" TargetMode="External"/><Relationship Id="rId25" Type="http://schemas.openxmlformats.org/officeDocument/2006/relationships/image" Target="media/image8.png"/><Relationship Id="rId33" Type="http://schemas.openxmlformats.org/officeDocument/2006/relationships/hyperlink" Target="http://www5.austlii.edu.au/au/legis/vic/consol_act/cohrara2006433/s3.html" TargetMode="External"/><Relationship Id="rId38" Type="http://schemas.openxmlformats.org/officeDocument/2006/relationships/hyperlink" Target="http://www5.austlii.edu.au/au/legis/vic/consol_act/cohrara2006433/s11.html" TargetMode="External"/><Relationship Id="rId46" Type="http://schemas.openxmlformats.org/officeDocument/2006/relationships/image" Target="media/image21.png"/><Relationship Id="rId59" Type="http://schemas.openxmlformats.org/officeDocument/2006/relationships/hyperlink" Target="https://www.judicialcollege.vic.edu.au/bench-books/charter-human-rights-and-responsibilities-bench-book" TargetMode="External"/><Relationship Id="rId20" Type="http://schemas.openxmlformats.org/officeDocument/2006/relationships/image" Target="media/image4.png"/><Relationship Id="rId41" Type="http://schemas.openxmlformats.org/officeDocument/2006/relationships/image" Target="media/image16.png"/><Relationship Id="rId54" Type="http://schemas.openxmlformats.org/officeDocument/2006/relationships/image" Target="media/image29.png"/><Relationship Id="rId62" Type="http://schemas.openxmlformats.org/officeDocument/2006/relationships/hyperlink" Target="https://socialequity.unimelb.edu.au/__data/assets/pdf_file/0005/3532820/Leading-the-Change-Report-2020.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image" Target="media/image11.svg"/><Relationship Id="rId36" Type="http://schemas.openxmlformats.org/officeDocument/2006/relationships/hyperlink" Target="http://www5.austlii.edu.au/au/legis/vic/consol_act/cohrara2006433/s3.html" TargetMode="External"/><Relationship Id="rId49" Type="http://schemas.openxmlformats.org/officeDocument/2006/relationships/image" Target="media/image24.png"/><Relationship Id="rId57" Type="http://schemas.openxmlformats.org/officeDocument/2006/relationships/image" Target="media/image32.png"/><Relationship Id="rId10" Type="http://schemas.openxmlformats.org/officeDocument/2006/relationships/endnotes" Target="endnotes.xml"/><Relationship Id="rId31" Type="http://schemas.openxmlformats.org/officeDocument/2006/relationships/image" Target="media/image14.png"/><Relationship Id="rId44" Type="http://schemas.openxmlformats.org/officeDocument/2006/relationships/image" Target="media/image19.png"/><Relationship Id="rId52" Type="http://schemas.openxmlformats.org/officeDocument/2006/relationships/image" Target="media/image27.png"/><Relationship Id="rId60" Type="http://schemas.openxmlformats.org/officeDocument/2006/relationships/hyperlink" Target="https://www.judicialcollege.vic.edu.au/resources/charter-case-collection"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3.png"/><Relationship Id="rId39" Type="http://schemas.openxmlformats.org/officeDocument/2006/relationships/hyperlink" Target="http://www5.austlii.edu.au/au/legis/vic/consol_act/cohrara2006433/s11.html" TargetMode="External"/></Relationships>
</file>

<file path=word/theme/theme1.xml><?xml version="1.0" encoding="utf-8"?>
<a:theme xmlns:a="http://schemas.openxmlformats.org/drawingml/2006/main" name="Office Theme">
  <a:themeElements>
    <a:clrScheme name="Lionheart Consulting Australia">
      <a:dk1>
        <a:sysClr val="windowText" lastClr="000000"/>
      </a:dk1>
      <a:lt1>
        <a:sysClr val="window" lastClr="FFFFFF"/>
      </a:lt1>
      <a:dk2>
        <a:srgbClr val="2B484E"/>
      </a:dk2>
      <a:lt2>
        <a:srgbClr val="E2F7EF"/>
      </a:lt2>
      <a:accent1>
        <a:srgbClr val="377375"/>
      </a:accent1>
      <a:accent2>
        <a:srgbClr val="25363E"/>
      </a:accent2>
      <a:accent3>
        <a:srgbClr val="598291"/>
      </a:accent3>
      <a:accent4>
        <a:srgbClr val="6B4B5F"/>
      </a:accent4>
      <a:accent5>
        <a:srgbClr val="A55B5E"/>
      </a:accent5>
      <a:accent6>
        <a:srgbClr val="DCAE56"/>
      </a:accent6>
      <a:hlink>
        <a:srgbClr val="377375"/>
      </a:hlink>
      <a:folHlink>
        <a:srgbClr val="2B484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B397AF1B434409B37A8D521173DAE" ma:contentTypeVersion="10" ma:contentTypeDescription="Create a new document." ma:contentTypeScope="" ma:versionID="461f9feebec2b79a77773cc87cb4c378">
  <xsd:schema xmlns:xsd="http://www.w3.org/2001/XMLSchema" xmlns:xs="http://www.w3.org/2001/XMLSchema" xmlns:p="http://schemas.microsoft.com/office/2006/metadata/properties" xmlns:ns3="bed17aa6-418d-4afb-9dfd-1adea3103f7c" targetNamespace="http://schemas.microsoft.com/office/2006/metadata/properties" ma:root="true" ma:fieldsID="6bc506c8d8959f96e5ad0cf336842482" ns3:_="">
    <xsd:import namespace="bed17aa6-418d-4afb-9dfd-1adea3103f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17aa6-418d-4afb-9dfd-1adea3103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173B0-A2E3-4FA6-BD40-FCA21AC2A48A}">
  <ds:schemaRefs>
    <ds:schemaRef ds:uri="http://schemas.openxmlformats.org/officeDocument/2006/bibliography"/>
  </ds:schemaRefs>
</ds:datastoreItem>
</file>

<file path=customXml/itemProps2.xml><?xml version="1.0" encoding="utf-8"?>
<ds:datastoreItem xmlns:ds="http://schemas.openxmlformats.org/officeDocument/2006/customXml" ds:itemID="{BAE4A3A0-7BC3-4B84-A863-DDF7376D95AA}">
  <ds:schemaRefs>
    <ds:schemaRef ds:uri="http://purl.org/dc/term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bed17aa6-418d-4afb-9dfd-1adea3103f7c"/>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442782F-2FE7-49CD-BCBD-795F35C3D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17aa6-418d-4afb-9dfd-1adea3103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DE1FA0-E565-4BF7-8416-13100EB06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2050</TotalTime>
  <Pages>83</Pages>
  <Words>17892</Words>
  <Characters>100377</Characters>
  <Application>Microsoft Office Word</Application>
  <DocSecurity>0</DocSecurity>
  <Lines>1730</Lines>
  <Paragraphs>603</Paragraphs>
  <ScaleCrop>false</ScaleCrop>
  <Company/>
  <LinksUpToDate>false</LinksUpToDate>
  <CharactersWithSpaces>117666</CharactersWithSpaces>
  <SharedDoc>false</SharedDoc>
  <HLinks>
    <vt:vector size="60" baseType="variant">
      <vt:variant>
        <vt:i4>6553680</vt:i4>
      </vt:variant>
      <vt:variant>
        <vt:i4>12</vt:i4>
      </vt:variant>
      <vt:variant>
        <vt:i4>0</vt:i4>
      </vt:variant>
      <vt:variant>
        <vt:i4>5</vt:i4>
      </vt:variant>
      <vt:variant>
        <vt:lpwstr>https://socialequity.unimelb.edu.au/__data/assets/pdf_file/0005/3532820/Leading-the-Change-Report-2020.pdf</vt:lpwstr>
      </vt:variant>
      <vt:variant>
        <vt:lpwstr/>
      </vt:variant>
      <vt:variant>
        <vt:i4>7077942</vt:i4>
      </vt:variant>
      <vt:variant>
        <vt:i4>9</vt:i4>
      </vt:variant>
      <vt:variant>
        <vt:i4>0</vt:i4>
      </vt:variant>
      <vt:variant>
        <vt:i4>5</vt:i4>
      </vt:variant>
      <vt:variant>
        <vt:lpwstr>https://www.ombudsman.vic.gov.au/learn-from-us/practice-guides/how-to-manage-complaints-involving-human-rights/</vt:lpwstr>
      </vt:variant>
      <vt:variant>
        <vt:lpwstr/>
      </vt:variant>
      <vt:variant>
        <vt:i4>5832733</vt:i4>
      </vt:variant>
      <vt:variant>
        <vt:i4>6</vt:i4>
      </vt:variant>
      <vt:variant>
        <vt:i4>0</vt:i4>
      </vt:variant>
      <vt:variant>
        <vt:i4>5</vt:i4>
      </vt:variant>
      <vt:variant>
        <vt:lpwstr>https://www.judicialcollege.vic.edu.au/resources/charter-case-collection</vt:lpwstr>
      </vt:variant>
      <vt:variant>
        <vt:lpwstr/>
      </vt:variant>
      <vt:variant>
        <vt:i4>7864447</vt:i4>
      </vt:variant>
      <vt:variant>
        <vt:i4>3</vt:i4>
      </vt:variant>
      <vt:variant>
        <vt:i4>0</vt:i4>
      </vt:variant>
      <vt:variant>
        <vt:i4>5</vt:i4>
      </vt:variant>
      <vt:variant>
        <vt:lpwstr>https://www.judicialcollege.vic.edu.au/bench-books/charter-human-rights-and-responsibilities-bench-book</vt:lpwstr>
      </vt:variant>
      <vt:variant>
        <vt:lpwstr/>
      </vt:variant>
      <vt:variant>
        <vt:i4>6291580</vt:i4>
      </vt:variant>
      <vt:variant>
        <vt:i4>0</vt:i4>
      </vt:variant>
      <vt:variant>
        <vt:i4>0</vt:i4>
      </vt:variant>
      <vt:variant>
        <vt:i4>5</vt:i4>
      </vt:variant>
      <vt:variant>
        <vt:lpwstr>https://www.humanrights.vic.gov.au/resources/the-charter-of-human-rights-and-responsibilities-a-guide-for-victorian-public-sector-workers-jul-2019/</vt:lpwstr>
      </vt:variant>
      <vt:variant>
        <vt:lpwstr/>
      </vt:variant>
      <vt:variant>
        <vt:i4>7209027</vt:i4>
      </vt:variant>
      <vt:variant>
        <vt:i4>63</vt:i4>
      </vt:variant>
      <vt:variant>
        <vt:i4>0</vt:i4>
      </vt:variant>
      <vt:variant>
        <vt:i4>5</vt:i4>
      </vt:variant>
      <vt:variant>
        <vt:lpwstr>https://www.alrc.gov.au/publication/equality-capacity-and-disability-in-commonwealth-laws-ip-44/equality-capacity-and-disability-in-commonwealth-laws/legislative-and-regulatory-framework/</vt:lpwstr>
      </vt:variant>
      <vt:variant>
        <vt:lpwstr>_ftnref13</vt:lpwstr>
      </vt:variant>
      <vt:variant>
        <vt:i4>524350</vt:i4>
      </vt:variant>
      <vt:variant>
        <vt:i4>9</vt:i4>
      </vt:variant>
      <vt:variant>
        <vt:i4>0</vt:i4>
      </vt:variant>
      <vt:variant>
        <vt:i4>5</vt:i4>
      </vt:variant>
      <vt:variant>
        <vt:lpwstr>http://www5.austlii.edu.au/au/legis/vic/consol_act/cohrara2006433/s3.html</vt:lpwstr>
      </vt:variant>
      <vt:variant>
        <vt:lpwstr>court</vt:lpwstr>
      </vt:variant>
      <vt:variant>
        <vt:i4>7405615</vt:i4>
      </vt:variant>
      <vt:variant>
        <vt:i4>6</vt:i4>
      </vt:variant>
      <vt:variant>
        <vt:i4>0</vt:i4>
      </vt:variant>
      <vt:variant>
        <vt:i4>5</vt:i4>
      </vt:variant>
      <vt:variant>
        <vt:lpwstr>http://www5.austlii.edu.au/au/legis/vic/consol_act/cohrara2006433/s11.html</vt:lpwstr>
      </vt:variant>
      <vt:variant>
        <vt:lpwstr>court_order</vt:lpwstr>
      </vt:variant>
      <vt:variant>
        <vt:i4>7405615</vt:i4>
      </vt:variant>
      <vt:variant>
        <vt:i4>3</vt:i4>
      </vt:variant>
      <vt:variant>
        <vt:i4>0</vt:i4>
      </vt:variant>
      <vt:variant>
        <vt:i4>5</vt:i4>
      </vt:variant>
      <vt:variant>
        <vt:lpwstr>http://www5.austlii.edu.au/au/legis/vic/consol_act/cohrara2006433/s11.html</vt:lpwstr>
      </vt:variant>
      <vt:variant>
        <vt:lpwstr>court_order</vt:lpwstr>
      </vt:variant>
      <vt:variant>
        <vt:i4>7143493</vt:i4>
      </vt:variant>
      <vt:variant>
        <vt:i4>0</vt:i4>
      </vt:variant>
      <vt:variant>
        <vt:i4>0</vt:i4>
      </vt:variant>
      <vt:variant>
        <vt:i4>5</vt:i4>
      </vt:variant>
      <vt:variant>
        <vt:lpwstr>http://www5.austlii.edu.au/au/legis/vic/consol_act/cohrara2006433/s3.html</vt:lpwstr>
      </vt:variant>
      <vt:variant>
        <vt:lpwstr>person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Kerin Leonard</dc:creator>
  <cp:keywords/>
  <dc:description/>
  <cp:lastModifiedBy>Simon Katterl</cp:lastModifiedBy>
  <cp:revision>264</cp:revision>
  <cp:lastPrinted>2023-08-07T03:20:00Z</cp:lastPrinted>
  <dcterms:created xsi:type="dcterms:W3CDTF">2023-05-03T00:27:00Z</dcterms:created>
  <dcterms:modified xsi:type="dcterms:W3CDTF">2023-08-08T08:08:00Z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0x010100C3EB397AF1B434409B37A8D521173DAE</vt:lpwstr>
  </property>
  <property fmtid="{D5CDD505-2E9C-101B-9397-08002B2CF9AE}" pid="3" name="ZOTERO_PREF_2">
    <vt:lpwstr>="noteType" value="1"/&gt;&lt;/prefs&gt;&lt;/data&gt;</vt:lpwstr>
  </property>
  <property fmtid="{D5CDD505-2E9C-101B-9397-08002B2CF9AE}" pid="4" name="ZOTERO_PREF_1">
    <vt:lpwstr>&lt;data data-version="3" zotero-version="6.0.26"&gt;&lt;session id="glZS0xW3"/&gt;&lt;style id="http://www.zotero.org/styles/australian-guide-to-legal-citation" hasBibliography="1" bibliographyStyleHasBeenSet="0"/&gt;&lt;prefs&gt;&lt;pref name="fieldType" value="Field"/&gt;&lt;pref name</vt:lpwstr>
  </property>
  <property fmtid="{D5CDD505-2E9C-101B-9397-08002B2CF9AE}" pid="5" name="GrammarlyDocumentId">
    <vt:lpwstr>a306a86205f19892033c429c9686b3f94bdd2f54c8e64c31c7ee1ebd71063937</vt:lpwstr>
  </property>
</Properties>
</file>