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885AF" w14:textId="71223843" w:rsidR="001D78A4" w:rsidRDefault="008153B6" w:rsidP="00610A68">
      <w:r>
        <w:rPr>
          <w:noProof/>
        </w:rPr>
        <w:drawing>
          <wp:anchor distT="0" distB="0" distL="114300" distR="114300" simplePos="0" relativeHeight="251658258" behindDoc="1" locked="0" layoutInCell="1" allowOverlap="1" wp14:anchorId="7C388E44" wp14:editId="309F3C90">
            <wp:simplePos x="0" y="0"/>
            <wp:positionH relativeFrom="column">
              <wp:posOffset>-81280</wp:posOffset>
            </wp:positionH>
            <wp:positionV relativeFrom="paragraph">
              <wp:posOffset>7063913</wp:posOffset>
            </wp:positionV>
            <wp:extent cx="3413532" cy="1452245"/>
            <wp:effectExtent l="0" t="0" r="0" b="0"/>
            <wp:wrapNone/>
            <wp:docPr id="22" name="Picture 22" descr="Image of Lionheart Consult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Lionheart Consulting Austra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3532"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8A4" w:rsidRPr="00717BAB">
        <w:rPr>
          <w:noProof/>
          <w:color w:val="377375" w:themeColor="accent1"/>
          <w:sz w:val="20"/>
          <w:szCs w:val="20"/>
        </w:rPr>
        <mc:AlternateContent>
          <mc:Choice Requires="wps">
            <w:drawing>
              <wp:anchor distT="0" distB="0" distL="114300" distR="114300" simplePos="0" relativeHeight="251658246" behindDoc="1" locked="0" layoutInCell="1" allowOverlap="1" wp14:anchorId="7FFD7924" wp14:editId="4C546E55">
                <wp:simplePos x="0" y="0"/>
                <wp:positionH relativeFrom="page">
                  <wp:align>left</wp:align>
                </wp:positionH>
                <wp:positionV relativeFrom="paragraph">
                  <wp:posOffset>-1248410</wp:posOffset>
                </wp:positionV>
                <wp:extent cx="7582619" cy="10896600"/>
                <wp:effectExtent l="0" t="0" r="18415" b="19050"/>
                <wp:wrapNone/>
                <wp:docPr id="13" name="Rectangle 13"/>
                <wp:cNvGraphicFramePr/>
                <a:graphic xmlns:a="http://schemas.openxmlformats.org/drawingml/2006/main">
                  <a:graphicData uri="http://schemas.microsoft.com/office/word/2010/wordprocessingShape">
                    <wps:wsp>
                      <wps:cNvSpPr/>
                      <wps:spPr>
                        <a:xfrm>
                          <a:off x="0" y="0"/>
                          <a:ext cx="7582619" cy="10896600"/>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426C6" w14:textId="02ABF527" w:rsidR="004006B8" w:rsidRDefault="004006B8" w:rsidP="004006B8">
                            <w:pPr>
                              <w:jc w:val="center"/>
                            </w:pPr>
                            <w:r>
                              <w:t> </w:t>
                            </w:r>
                          </w:p>
                          <w:p w14:paraId="22F7DED8" w14:textId="1A2CD50F" w:rsidR="004006B8" w:rsidRDefault="004006B8" w:rsidP="004006B8">
                            <w:pPr>
                              <w:jc w:val="center"/>
                            </w:pPr>
                          </w:p>
                          <w:p w14:paraId="44F64E58" w14:textId="6EBA098E" w:rsidR="004006B8" w:rsidRDefault="004006B8" w:rsidP="004006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7924" id="Rectangle 13" o:spid="_x0000_s1026" style="position:absolute;margin-left:0;margin-top:-98.3pt;width:597.05pt;height:858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" fillcolor="#201547" strokecolor="#1b383a [1604]" strokeweight="1pt">
                <v:textbox>
                  <w:txbxContent>
                    <w:p w14:paraId="6C8426C6" w14:textId="02ABF527" w:rsidR="004006B8" w:rsidRDefault="004006B8" w:rsidP="004006B8">
                      <w:pPr>
                        <w:jc w:val="center"/>
                      </w:pPr>
                      <w:r>
                        <w:t> </w:t>
                      </w:r>
                    </w:p>
                    <w:p w14:paraId="22F7DED8" w14:textId="1A2CD50F" w:rsidR="004006B8" w:rsidRDefault="004006B8" w:rsidP="004006B8">
                      <w:pPr>
                        <w:jc w:val="center"/>
                      </w:pPr>
                    </w:p>
                    <w:p w14:paraId="44F64E58" w14:textId="6EBA098E" w:rsidR="004006B8" w:rsidRDefault="004006B8" w:rsidP="004006B8">
                      <w:pPr>
                        <w:jc w:val="center"/>
                      </w:pPr>
                    </w:p>
                  </w:txbxContent>
                </v:textbox>
                <w10:wrap anchorx="page"/>
              </v:rect>
            </w:pict>
          </mc:Fallback>
        </mc:AlternateContent>
      </w:r>
    </w:p>
    <w:sdt>
      <w:sdtPr>
        <w:id w:val="-934437003"/>
        <w:docPartObj>
          <w:docPartGallery w:val="Cover Pages"/>
          <w:docPartUnique/>
        </w:docPartObj>
      </w:sdtPr>
      <w:sdtEndPr/>
      <w:sdtContent>
        <w:p w14:paraId="21270283" w14:textId="154F41FC" w:rsidR="004B1972" w:rsidRDefault="004B1972" w:rsidP="00624921"/>
        <w:p w14:paraId="00B5E2C1" w14:textId="03BDE843" w:rsidR="004A0ED0" w:rsidRDefault="00C25818" w:rsidP="00610A68">
          <w:pPr>
            <w:jc w:val="center"/>
          </w:pPr>
          <w:r>
            <w:rPr>
              <w:noProof/>
            </w:rPr>
            <w:drawing>
              <wp:anchor distT="0" distB="0" distL="114300" distR="114300" simplePos="0" relativeHeight="251658257" behindDoc="0" locked="0" layoutInCell="1" allowOverlap="1" wp14:anchorId="65FE8912" wp14:editId="5741874C">
                <wp:simplePos x="0" y="0"/>
                <wp:positionH relativeFrom="column">
                  <wp:posOffset>648335</wp:posOffset>
                </wp:positionH>
                <wp:positionV relativeFrom="paragraph">
                  <wp:posOffset>6303645</wp:posOffset>
                </wp:positionV>
                <wp:extent cx="2385060" cy="2385060"/>
                <wp:effectExtent l="0" t="0" r="0" b="0"/>
                <wp:wrapNone/>
                <wp:docPr id="42" name="Picture 42" descr="Image of Simon Katterl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Simon Katterl Consulting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921">
            <w:rPr>
              <w:noProof/>
            </w:rPr>
            <mc:AlternateContent>
              <mc:Choice Requires="wps">
                <w:drawing>
                  <wp:anchor distT="45720" distB="45720" distL="114300" distR="114300" simplePos="0" relativeHeight="251658247" behindDoc="0" locked="0" layoutInCell="1" allowOverlap="1" wp14:anchorId="29BA4161" wp14:editId="5E197F01">
                    <wp:simplePos x="0" y="0"/>
                    <wp:positionH relativeFrom="margin">
                      <wp:align>left</wp:align>
                    </wp:positionH>
                    <wp:positionV relativeFrom="paragraph">
                      <wp:posOffset>304165</wp:posOffset>
                    </wp:positionV>
                    <wp:extent cx="5499735" cy="707326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073660"/>
                            </a:xfrm>
                            <a:prstGeom prst="rect">
                              <a:avLst/>
                            </a:prstGeom>
                            <a:noFill/>
                            <a:ln w="9525">
                              <a:noFill/>
                              <a:miter lim="800000"/>
                              <a:headEnd/>
                              <a:tailEnd/>
                            </a:ln>
                          </wps:spPr>
                          <wps:txbx>
                            <w:txbxContent>
                              <w:p w14:paraId="57E9E974" w14:textId="53C48514" w:rsidR="003B725D" w:rsidRPr="000552C6" w:rsidRDefault="00B75641" w:rsidP="00E072CB">
                                <w:pPr>
                                  <w:pStyle w:val="Footer"/>
                                  <w:spacing w:line="192" w:lineRule="auto"/>
                                  <w:rPr>
                                    <w:b/>
                                    <w:bCs/>
                                    <w:color w:val="FFFFFF" w:themeColor="background1"/>
                                    <w:sz w:val="96"/>
                                    <w:szCs w:val="72"/>
                                  </w:rPr>
                                </w:pPr>
                                <w:r>
                                  <w:rPr>
                                    <w:b/>
                                    <w:bCs/>
                                    <w:color w:val="FFFFFF" w:themeColor="background1"/>
                                    <w:sz w:val="96"/>
                                    <w:szCs w:val="72"/>
                                  </w:rPr>
                                  <w:t>Putting human rights at the heart</w:t>
                                </w:r>
                                <w:r w:rsidR="00624ADA">
                                  <w:rPr>
                                    <w:b/>
                                    <w:bCs/>
                                    <w:color w:val="FFFFFF" w:themeColor="background1"/>
                                    <w:sz w:val="96"/>
                                    <w:szCs w:val="72"/>
                                  </w:rPr>
                                  <w:t xml:space="preserve"> </w:t>
                                </w:r>
                              </w:p>
                              <w:p w14:paraId="3B183EDB" w14:textId="7C4D3DAF" w:rsidR="00B75641" w:rsidRPr="006B0FB1" w:rsidRDefault="00E072CB" w:rsidP="00B75641">
                                <w:pPr>
                                  <w:spacing w:before="60" w:after="0" w:line="192" w:lineRule="auto"/>
                                  <w:rPr>
                                    <w:rFonts w:cstheme="minorHAnsi"/>
                                    <w:i/>
                                    <w:iCs/>
                                    <w:color w:val="FFFFFF" w:themeColor="background1"/>
                                    <w:sz w:val="36"/>
                                    <w:szCs w:val="36"/>
                                  </w:rPr>
                                </w:pPr>
                                <w:r>
                                  <w:rPr>
                                    <w:rFonts w:cstheme="minorHAnsi"/>
                                    <w:b/>
                                    <w:bCs/>
                                    <w:color w:val="FFFFFF" w:themeColor="background1"/>
                                    <w:sz w:val="44"/>
                                    <w:szCs w:val="44"/>
                                  </w:rPr>
                                  <w:br/>
                                </w:r>
                                <w:r w:rsidR="006B0FB1" w:rsidRPr="006B0FB1">
                                  <w:rPr>
                                    <w:rFonts w:cstheme="minorHAnsi"/>
                                    <w:i/>
                                    <w:iCs/>
                                    <w:color w:val="FFFFFF" w:themeColor="background1"/>
                                    <w:sz w:val="44"/>
                                    <w:szCs w:val="44"/>
                                  </w:rPr>
                                  <w:t>Thinking about human rights</w:t>
                                </w:r>
                              </w:p>
                              <w:p w14:paraId="68A11303" w14:textId="1FAA0060" w:rsidR="00624921" w:rsidRDefault="00DF2FCF" w:rsidP="003B725D">
                                <w:pPr>
                                  <w:spacing w:before="60" w:after="0" w:line="192" w:lineRule="auto"/>
                                  <w:rPr>
                                    <w:rFonts w:cstheme="minorHAnsi"/>
                                    <w:color w:val="FFFFFF" w:themeColor="background1"/>
                                    <w:sz w:val="32"/>
                                    <w:szCs w:val="32"/>
                                  </w:rPr>
                                </w:pPr>
                                <w:r w:rsidRPr="00504F53">
                                  <w:rPr>
                                    <w:rFonts w:cstheme="minorHAnsi"/>
                                    <w:color w:val="FFFFFF" w:themeColor="background1"/>
                                    <w:sz w:val="32"/>
                                    <w:szCs w:val="32"/>
                                  </w:rPr>
                                  <w:br/>
                                </w:r>
                                <w:r w:rsidR="00E072CB">
                                  <w:rPr>
                                    <w:rFonts w:cstheme="minorHAnsi"/>
                                    <w:color w:val="FFFF00"/>
                                    <w:sz w:val="32"/>
                                    <w:szCs w:val="32"/>
                                  </w:rPr>
                                  <w:br/>
                                </w:r>
                                <w:r>
                                  <w:rPr>
                                    <w:rFonts w:cstheme="minorHAnsi"/>
                                    <w:color w:val="FFFF00"/>
                                    <w:sz w:val="32"/>
                                    <w:szCs w:val="32"/>
                                  </w:rPr>
                                  <w:br/>
                                </w:r>
                                <w:r w:rsidR="00EB2274">
                                  <w:rPr>
                                    <w:rFonts w:cstheme="minorHAnsi"/>
                                    <w:color w:val="FFFFFF" w:themeColor="background1"/>
                                    <w:sz w:val="32"/>
                                    <w:szCs w:val="32"/>
                                  </w:rPr>
                                  <w:t>Prepared for t</w:t>
                                </w:r>
                                <w:r w:rsidR="006B0FB1">
                                  <w:rPr>
                                    <w:rFonts w:cstheme="minorHAnsi"/>
                                    <w:color w:val="FFFFFF" w:themeColor="background1"/>
                                    <w:sz w:val="32"/>
                                    <w:szCs w:val="32"/>
                                  </w:rPr>
                                  <w:t xml:space="preserve">he Mental Health and Wellbeing Division, </w:t>
                                </w:r>
                                <w:r w:rsidR="00527B4A">
                                  <w:rPr>
                                    <w:rFonts w:cstheme="minorHAnsi"/>
                                    <w:color w:val="FFFFFF" w:themeColor="background1"/>
                                    <w:sz w:val="32"/>
                                    <w:szCs w:val="32"/>
                                  </w:rPr>
                                  <w:t>August 2023</w:t>
                                </w:r>
                              </w:p>
                              <w:p w14:paraId="25B5A846" w14:textId="77777777" w:rsidR="000A0102" w:rsidRDefault="000A0102" w:rsidP="003B725D">
                                <w:pPr>
                                  <w:spacing w:before="60" w:after="0" w:line="192" w:lineRule="auto"/>
                                  <w:rPr>
                                    <w:rFonts w:cstheme="minorHAnsi"/>
                                    <w:color w:val="FFFFFF" w:themeColor="background1"/>
                                    <w:sz w:val="32"/>
                                    <w:szCs w:val="32"/>
                                  </w:rPr>
                                </w:pPr>
                              </w:p>
                              <w:p w14:paraId="63CD713A" w14:textId="04321F3A" w:rsidR="000A0102" w:rsidRPr="00504F53" w:rsidRDefault="000A0102" w:rsidP="005D36C7">
                                <w:pPr>
                                  <w:spacing w:before="60" w:after="0" w:line="192" w:lineRule="auto"/>
                                  <w:rPr>
                                    <w:rFonts w:cstheme="minorHAnsi"/>
                                    <w:color w:val="FFFFFF" w:themeColor="background1"/>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4161" id="_x0000_t202" coordsize="21600,21600" o:spt="202" path="m,l,21600r21600,l21600,xe">
                    <v:stroke joinstyle="miter"/>
                    <v:path gradientshapeok="t" o:connecttype="rect"/>
                  </v:shapetype>
                  <v:shape id="Text Box 16" o:spid="_x0000_s1027" type="#_x0000_t202" style="position:absolute;left:0;text-align:left;margin-left:0;margin-top:23.95pt;width:433.05pt;height:556.9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" filled="f" stroked="f">
                    <v:textbox>
                      <w:txbxContent>
                        <w:p w14:paraId="57E9E974" w14:textId="53C48514" w:rsidR="003B725D" w:rsidRPr="000552C6" w:rsidRDefault="00B75641" w:rsidP="00E072CB">
                          <w:pPr>
                            <w:pStyle w:val="Footer"/>
                            <w:spacing w:line="192" w:lineRule="auto"/>
                            <w:rPr>
                              <w:b/>
                              <w:bCs/>
                              <w:color w:val="FFFFFF" w:themeColor="background1"/>
                              <w:sz w:val="96"/>
                              <w:szCs w:val="72"/>
                            </w:rPr>
                          </w:pPr>
                          <w:r>
                            <w:rPr>
                              <w:b/>
                              <w:bCs/>
                              <w:color w:val="FFFFFF" w:themeColor="background1"/>
                              <w:sz w:val="96"/>
                              <w:szCs w:val="72"/>
                            </w:rPr>
                            <w:t>Putting human rights at the heart</w:t>
                          </w:r>
                          <w:r w:rsidR="00624ADA">
                            <w:rPr>
                              <w:b/>
                              <w:bCs/>
                              <w:color w:val="FFFFFF" w:themeColor="background1"/>
                              <w:sz w:val="96"/>
                              <w:szCs w:val="72"/>
                            </w:rPr>
                            <w:t xml:space="preserve"> </w:t>
                          </w:r>
                        </w:p>
                        <w:p w14:paraId="3B183EDB" w14:textId="7C4D3DAF" w:rsidR="00B75641" w:rsidRPr="006B0FB1" w:rsidRDefault="00E072CB" w:rsidP="00B75641">
                          <w:pPr>
                            <w:spacing w:before="60" w:after="0" w:line="192" w:lineRule="auto"/>
                            <w:rPr>
                              <w:rFonts w:cstheme="minorHAnsi"/>
                              <w:i/>
                              <w:iCs/>
                              <w:color w:val="FFFFFF" w:themeColor="background1"/>
                              <w:sz w:val="36"/>
                              <w:szCs w:val="36"/>
                            </w:rPr>
                          </w:pPr>
                          <w:r>
                            <w:rPr>
                              <w:rFonts w:cstheme="minorHAnsi"/>
                              <w:b/>
                              <w:bCs/>
                              <w:color w:val="FFFFFF" w:themeColor="background1"/>
                              <w:sz w:val="44"/>
                              <w:szCs w:val="44"/>
                            </w:rPr>
                            <w:br/>
                          </w:r>
                          <w:r w:rsidR="006B0FB1" w:rsidRPr="006B0FB1">
                            <w:rPr>
                              <w:rFonts w:cstheme="minorHAnsi"/>
                              <w:i/>
                              <w:iCs/>
                              <w:color w:val="FFFFFF" w:themeColor="background1"/>
                              <w:sz w:val="44"/>
                              <w:szCs w:val="44"/>
                            </w:rPr>
                            <w:t>Thinking about human rights</w:t>
                          </w:r>
                        </w:p>
                        <w:p w14:paraId="68A11303" w14:textId="1FAA0060" w:rsidR="00624921" w:rsidRDefault="00DF2FCF" w:rsidP="003B725D">
                          <w:pPr>
                            <w:spacing w:before="60" w:after="0" w:line="192" w:lineRule="auto"/>
                            <w:rPr>
                              <w:rFonts w:cstheme="minorHAnsi"/>
                              <w:color w:val="FFFFFF" w:themeColor="background1"/>
                              <w:sz w:val="32"/>
                              <w:szCs w:val="32"/>
                            </w:rPr>
                          </w:pPr>
                          <w:r w:rsidRPr="00504F53">
                            <w:rPr>
                              <w:rFonts w:cstheme="minorHAnsi"/>
                              <w:color w:val="FFFFFF" w:themeColor="background1"/>
                              <w:sz w:val="32"/>
                              <w:szCs w:val="32"/>
                            </w:rPr>
                            <w:br/>
                          </w:r>
                          <w:r w:rsidR="00E072CB">
                            <w:rPr>
                              <w:rFonts w:cstheme="minorHAnsi"/>
                              <w:color w:val="FFFF00"/>
                              <w:sz w:val="32"/>
                              <w:szCs w:val="32"/>
                            </w:rPr>
                            <w:br/>
                          </w:r>
                          <w:r>
                            <w:rPr>
                              <w:rFonts w:cstheme="minorHAnsi"/>
                              <w:color w:val="FFFF00"/>
                              <w:sz w:val="32"/>
                              <w:szCs w:val="32"/>
                            </w:rPr>
                            <w:br/>
                          </w:r>
                          <w:r w:rsidR="00EB2274">
                            <w:rPr>
                              <w:rFonts w:cstheme="minorHAnsi"/>
                              <w:color w:val="FFFFFF" w:themeColor="background1"/>
                              <w:sz w:val="32"/>
                              <w:szCs w:val="32"/>
                            </w:rPr>
                            <w:t>Prepared for t</w:t>
                          </w:r>
                          <w:r w:rsidR="006B0FB1">
                            <w:rPr>
                              <w:rFonts w:cstheme="minorHAnsi"/>
                              <w:color w:val="FFFFFF" w:themeColor="background1"/>
                              <w:sz w:val="32"/>
                              <w:szCs w:val="32"/>
                            </w:rPr>
                            <w:t xml:space="preserve">he Mental Health and Wellbeing Division, </w:t>
                          </w:r>
                          <w:r w:rsidR="00527B4A">
                            <w:rPr>
                              <w:rFonts w:cstheme="minorHAnsi"/>
                              <w:color w:val="FFFFFF" w:themeColor="background1"/>
                              <w:sz w:val="32"/>
                              <w:szCs w:val="32"/>
                            </w:rPr>
                            <w:t>August 2023</w:t>
                          </w:r>
                        </w:p>
                        <w:p w14:paraId="25B5A846" w14:textId="77777777" w:rsidR="000A0102" w:rsidRDefault="000A0102" w:rsidP="003B725D">
                          <w:pPr>
                            <w:spacing w:before="60" w:after="0" w:line="192" w:lineRule="auto"/>
                            <w:rPr>
                              <w:rFonts w:cstheme="minorHAnsi"/>
                              <w:color w:val="FFFFFF" w:themeColor="background1"/>
                              <w:sz w:val="32"/>
                              <w:szCs w:val="32"/>
                            </w:rPr>
                          </w:pPr>
                        </w:p>
                        <w:p w14:paraId="63CD713A" w14:textId="04321F3A" w:rsidR="000A0102" w:rsidRPr="00504F53" w:rsidRDefault="000A0102" w:rsidP="005D36C7">
                          <w:pPr>
                            <w:spacing w:before="60" w:after="0" w:line="192" w:lineRule="auto"/>
                            <w:rPr>
                              <w:rFonts w:cstheme="minorHAnsi"/>
                              <w:color w:val="FFFFFF" w:themeColor="background1"/>
                              <w:sz w:val="52"/>
                              <w:szCs w:val="52"/>
                            </w:rPr>
                          </w:pPr>
                        </w:p>
                      </w:txbxContent>
                    </v:textbox>
                    <w10:wrap type="square" anchorx="margin"/>
                  </v:shape>
                </w:pict>
              </mc:Fallback>
            </mc:AlternateContent>
          </w:r>
          <w:r w:rsidR="004B1972">
            <w:br w:type="page"/>
          </w:r>
        </w:p>
      </w:sdtContent>
    </w:sdt>
    <w:p w14:paraId="4FAB034F" w14:textId="77777777" w:rsidR="00FC21F2" w:rsidRDefault="00FC21F2" w:rsidP="00E003BD">
      <w:pPr>
        <w:sectPr w:rsidR="00FC21F2" w:rsidSect="00271E88">
          <w:headerReference w:type="default" r:id="rId13"/>
          <w:footerReference w:type="default" r:id="rId14"/>
          <w:headerReference w:type="first" r:id="rId15"/>
          <w:footerReference w:type="first" r:id="rId16"/>
          <w:type w:val="continuous"/>
          <w:pgSz w:w="11906" w:h="16838"/>
          <w:pgMar w:top="1701" w:right="1418" w:bottom="1440" w:left="1418" w:header="709" w:footer="709" w:gutter="0"/>
          <w:pgNumType w:start="0"/>
          <w:cols w:num="2" w:space="284"/>
          <w:titlePg/>
          <w:docGrid w:linePitch="360"/>
        </w:sectPr>
      </w:pPr>
    </w:p>
    <w:p w14:paraId="5092577A" w14:textId="6D5C29D6" w:rsidR="002F04AB" w:rsidRPr="002F04AB" w:rsidRDefault="00FC21F2" w:rsidP="00E003BD">
      <w:pPr>
        <w:rPr>
          <w:b/>
          <w:bCs/>
        </w:rPr>
      </w:pPr>
      <w:r w:rsidRPr="002F04AB">
        <w:rPr>
          <w:b/>
          <w:bCs/>
        </w:rPr>
        <w:lastRenderedPageBreak/>
        <w:t xml:space="preserve">We acknowledge Victoria’s First Peoples and their rich culture. </w:t>
      </w:r>
    </w:p>
    <w:p w14:paraId="31A34373" w14:textId="3DABBD01" w:rsidR="006313D5" w:rsidRDefault="006313D5" w:rsidP="00E003BD">
      <w:r>
        <w:t xml:space="preserve">As recognised in the preamble of the </w:t>
      </w:r>
      <w:r>
        <w:rPr>
          <w:i/>
          <w:iCs/>
        </w:rPr>
        <w:t xml:space="preserve">Charter of Human Rights and Responsibilities Act 2006 </w:t>
      </w:r>
      <w:r>
        <w:t>(Vic) ‘human rights have special importance for the Aboriginal people of Victoria, as descendants of Australia’s first people, with their diverse spiritual, social, cultural and economic relationship with their traditional lands and waters’.</w:t>
      </w:r>
    </w:p>
    <w:p w14:paraId="67EBFC8B" w14:textId="104514BB" w:rsidR="00DA759A" w:rsidRDefault="0053766F" w:rsidP="0053766F">
      <w:r>
        <w:t xml:space="preserve">We respectfully acknowledge </w:t>
      </w:r>
      <w:r w:rsidR="00614CB6">
        <w:t>all</w:t>
      </w:r>
      <w:r>
        <w:t xml:space="preserve"> </w:t>
      </w:r>
      <w:r w:rsidR="00614CB6">
        <w:t>Aboriginal</w:t>
      </w:r>
      <w:r>
        <w:t xml:space="preserve"> people in Victoria and pay respects to their elders past and present. </w:t>
      </w:r>
    </w:p>
    <w:p w14:paraId="6F38FC96" w14:textId="517124BE" w:rsidR="0053766F" w:rsidRDefault="6D69D0D5" w:rsidP="6D69D0D5">
      <w:pPr>
        <w:rPr>
          <w:b/>
          <w:bCs/>
        </w:rPr>
        <w:sectPr w:rsidR="0053766F" w:rsidSect="0053766F">
          <w:type w:val="continuous"/>
          <w:pgSz w:w="11906" w:h="16838"/>
          <w:pgMar w:top="1701" w:right="1418" w:bottom="1440" w:left="1418" w:header="709" w:footer="709" w:gutter="0"/>
          <w:pgNumType w:start="0"/>
          <w:cols w:space="284"/>
          <w:titlePg/>
          <w:docGrid w:linePitch="360"/>
        </w:sectPr>
      </w:pPr>
      <w:r>
        <w:t>We recognise the lived experiences of colonisation and discrimination, and the strength, leadership and resilience of Aboriginal communities. We also recognise the importance of Aboriginal and Torres Strait Islander people’s distinct and culturally grounded approaches to social and emotional wellbeing.</w:t>
      </w:r>
    </w:p>
    <w:p w14:paraId="13800851" w14:textId="77777777" w:rsidR="007E5997" w:rsidRDefault="007E5997" w:rsidP="007E5997">
      <w:pPr>
        <w:pStyle w:val="Heading2-report"/>
      </w:pPr>
    </w:p>
    <w:p w14:paraId="73783248" w14:textId="5EF4C955" w:rsidR="007E5997" w:rsidRDefault="007E5997" w:rsidP="007E5997">
      <w:pPr>
        <w:pStyle w:val="Heading2-report"/>
      </w:pPr>
    </w:p>
    <w:p w14:paraId="3487E60B" w14:textId="77777777" w:rsidR="00FC21F2" w:rsidRDefault="00FC21F2">
      <w:pPr>
        <w:rPr>
          <w:b/>
          <w:bCs/>
          <w:color w:val="201547"/>
          <w:sz w:val="36"/>
          <w:szCs w:val="36"/>
        </w:rPr>
      </w:pPr>
      <w:r>
        <w:br w:type="page"/>
      </w:r>
    </w:p>
    <w:p w14:paraId="2F0A5D11" w14:textId="738397DB" w:rsidR="00B21F29" w:rsidRPr="002236F3" w:rsidRDefault="00124F05" w:rsidP="007E5997">
      <w:pPr>
        <w:pStyle w:val="Heading2-report"/>
      </w:pPr>
      <w:r w:rsidRPr="002236F3">
        <w:lastRenderedPageBreak/>
        <w:t>Dis</w:t>
      </w:r>
      <w:r w:rsidR="00783EC0">
        <w:t>cl</w:t>
      </w:r>
      <w:r w:rsidRPr="002236F3">
        <w:t>aimer</w:t>
      </w:r>
    </w:p>
    <w:p w14:paraId="6DFDCBEB" w14:textId="41346962" w:rsidR="00C94538" w:rsidRDefault="00B21F29" w:rsidP="00B21F29">
      <w:r w:rsidRPr="002236F3">
        <w:t>T</w:t>
      </w:r>
      <w:r w:rsidR="00D809E9" w:rsidRPr="002236F3">
        <w:t xml:space="preserve">his guide </w:t>
      </w:r>
      <w:r w:rsidR="00C1309A" w:rsidRPr="002236F3">
        <w:t xml:space="preserve">was developed for the Mental Health and Wellbeing Division of the </w:t>
      </w:r>
      <w:r w:rsidR="00F57005" w:rsidRPr="002236F3">
        <w:t xml:space="preserve">Victorian </w:t>
      </w:r>
      <w:r w:rsidR="00C1309A" w:rsidRPr="002236F3">
        <w:t xml:space="preserve">Department of Health. It is provided for </w:t>
      </w:r>
      <w:r w:rsidR="008D4562" w:rsidRPr="002236F3">
        <w:t>information purposes to build awareness of human rights</w:t>
      </w:r>
      <w:r w:rsidR="00492EF6" w:rsidRPr="002236F3">
        <w:t>. It should not be taken for</w:t>
      </w:r>
      <w:r w:rsidR="008D4562" w:rsidRPr="002236F3">
        <w:t>, or relied on, as</w:t>
      </w:r>
      <w:r w:rsidR="00492EF6" w:rsidRPr="002236F3">
        <w:t xml:space="preserve"> legal advice.</w:t>
      </w:r>
    </w:p>
    <w:p w14:paraId="4CBAF6EA" w14:textId="7C268DAA" w:rsidR="00011EB9" w:rsidRDefault="00B35BD1" w:rsidP="00425CF9">
      <w:pPr>
        <w:pStyle w:val="Heading2-report"/>
        <w:spacing w:before="240"/>
      </w:pPr>
      <w:r>
        <w:t>Transition to new legislation</w:t>
      </w:r>
    </w:p>
    <w:p w14:paraId="6E1D97A0" w14:textId="6BA46DA8" w:rsidR="00011EB9" w:rsidRDefault="6D69D0D5" w:rsidP="00011EB9">
      <w:r>
        <w:t xml:space="preserve">This guide was written during the transition to new mental health and wellbeing legislation in Victoria. To ensure the guide maintains currency, we have generally referred to the </w:t>
      </w:r>
      <w:r w:rsidRPr="6D69D0D5">
        <w:rPr>
          <w:i/>
          <w:iCs/>
        </w:rPr>
        <w:t xml:space="preserve">Mental Health and Wellbeing Act 2022 </w:t>
      </w:r>
      <w:r>
        <w:t>(Vic) which is due to come into force in September 2023.</w:t>
      </w:r>
    </w:p>
    <w:p w14:paraId="004EBE2E" w14:textId="73D4A1CE" w:rsidR="00011EB9" w:rsidRPr="00904411" w:rsidRDefault="00011EB9" w:rsidP="00011EB9">
      <w:pPr>
        <w:rPr>
          <w:i/>
          <w:iCs/>
        </w:rPr>
      </w:pPr>
      <w:r>
        <w:t xml:space="preserve">Where examples refer to historic situations, references </w:t>
      </w:r>
      <w:r w:rsidR="00B35BD1">
        <w:t>are made to the legislation in force at the relevant time.</w:t>
      </w:r>
    </w:p>
    <w:p w14:paraId="331402DA" w14:textId="52D81414" w:rsidR="002236F3" w:rsidRDefault="002236F3" w:rsidP="002236F3">
      <w:pPr>
        <w:pStyle w:val="Heading2-report"/>
      </w:pPr>
      <w:r>
        <w:t>A note on terminology</w:t>
      </w:r>
    </w:p>
    <w:p w14:paraId="2C7C286F" w14:textId="2BE1BD63" w:rsidR="002206DF" w:rsidRDefault="003871BE" w:rsidP="00E0254B">
      <w:r>
        <w:t>Language and how we use it can be powerful</w:t>
      </w:r>
      <w:r w:rsidR="00F470D8">
        <w:t xml:space="preserve">. </w:t>
      </w:r>
      <w:r w:rsidR="002206DF">
        <w:t>The use of language is also developing</w:t>
      </w:r>
      <w:r w:rsidR="004C661B">
        <w:t>.</w:t>
      </w:r>
    </w:p>
    <w:p w14:paraId="0FF9D7AF" w14:textId="1C86FFC3" w:rsidR="00FA10FB" w:rsidRDefault="6D69D0D5" w:rsidP="0029424F">
      <w:r>
        <w:t>In this guide, we generally use the term ‘lived experience’ to refer to people with lived experience of mental health issues and psychological distress; and, where relevant, to the distinct lived experience of families, carers and supporters.</w:t>
      </w:r>
    </w:p>
    <w:p w14:paraId="00C3D068" w14:textId="692D6CCB" w:rsidR="009F70FF" w:rsidRDefault="00C358B4" w:rsidP="00310C34">
      <w:r>
        <w:t xml:space="preserve">We </w:t>
      </w:r>
      <w:r w:rsidR="008F38FB">
        <w:t xml:space="preserve">use the term ‘consumers’ or ‘mental health consumers’ at times for clarity when talking about </w:t>
      </w:r>
      <w:r w:rsidR="00B078C0">
        <w:t>people who have been users of</w:t>
      </w:r>
      <w:r w:rsidR="00352DF4">
        <w:t>,</w:t>
      </w:r>
      <w:r w:rsidR="00B078C0">
        <w:t xml:space="preserve"> and subject to</w:t>
      </w:r>
      <w:r w:rsidR="00352DF4">
        <w:t>,</w:t>
      </w:r>
      <w:r w:rsidR="00B078C0">
        <w:t xml:space="preserve"> the mental health and wellbeing system.</w:t>
      </w:r>
      <w:r w:rsidR="00842E7C">
        <w:t xml:space="preserve"> </w:t>
      </w:r>
      <w:r w:rsidR="00E94007">
        <w:t>We acknowledge that</w:t>
      </w:r>
      <w:r w:rsidR="00842E7C">
        <w:t xml:space="preserve"> people may</w:t>
      </w:r>
      <w:r w:rsidR="00E94007">
        <w:t xml:space="preserve"> also or alternatively</w:t>
      </w:r>
      <w:r w:rsidR="00842E7C">
        <w:t xml:space="preserve"> identify as </w:t>
      </w:r>
      <w:r w:rsidR="00AB7FD1">
        <w:t xml:space="preserve">being ‘patients’, ‘service users’, </w:t>
      </w:r>
      <w:r w:rsidR="00E94007">
        <w:t>‘mad’, or ‘survivors of psychiatry’.</w:t>
      </w:r>
    </w:p>
    <w:p w14:paraId="2A263CC9" w14:textId="2C927D02" w:rsidR="00F556AE" w:rsidRDefault="00F556AE" w:rsidP="00310C34">
      <w:r>
        <w:t xml:space="preserve">Where terms such ‘disability’ and ‘mental impairment’ are used in legislation, we have used these terms </w:t>
      </w:r>
      <w:r w:rsidR="00FB3C51">
        <w:t xml:space="preserve">in this guide </w:t>
      </w:r>
      <w:r>
        <w:t xml:space="preserve">to ensure accuracy. However, </w:t>
      </w:r>
      <w:r w:rsidR="00AE1619">
        <w:t>we note that some of the</w:t>
      </w:r>
      <w:r w:rsidR="00393AC3">
        <w:t>se</w:t>
      </w:r>
      <w:r w:rsidR="00AE1619">
        <w:t xml:space="preserve"> legal terms are no longer best practice and may not be how people would choose to describe themselves.</w:t>
      </w:r>
    </w:p>
    <w:p w14:paraId="20C04C3A" w14:textId="381887BF" w:rsidR="00442412" w:rsidRDefault="00442412" w:rsidP="00310C34">
      <w:r>
        <w:t xml:space="preserve">‘Aboriginal’ is used </w:t>
      </w:r>
      <w:r w:rsidR="00D77C66">
        <w:t>to refer to both Aboriginal and Torres Strait Islander people in accordance with current Victorian Government protocols</w:t>
      </w:r>
      <w:r w:rsidR="00853CFD">
        <w:t>. ‘Aboriginal’ is also used in relevant legislation discussed in this guide</w:t>
      </w:r>
      <w:r w:rsidR="00D77C66">
        <w:t xml:space="preserve">. We note that ‘First Nations’ </w:t>
      </w:r>
      <w:r w:rsidR="007B088D">
        <w:t>is</w:t>
      </w:r>
      <w:r w:rsidR="00D77C66">
        <w:t xml:space="preserve"> used by some people to describe themselves.</w:t>
      </w:r>
    </w:p>
    <w:p w14:paraId="716D74A8" w14:textId="0186E542" w:rsidR="00D06F13" w:rsidRDefault="00E5138A" w:rsidP="00D06F13">
      <w:pPr>
        <w:pStyle w:val="Heading2-report"/>
      </w:pPr>
      <w:r>
        <w:t>Copyright</w:t>
      </w:r>
    </w:p>
    <w:p w14:paraId="71619FB1" w14:textId="77777777" w:rsidR="00E5138A" w:rsidRDefault="00E02D65" w:rsidP="00D06F13">
      <w:r w:rsidRPr="00D06F13">
        <w:drawing>
          <wp:inline distT="0" distB="0" distL="0" distR="0" wp14:anchorId="3DBBBA30" wp14:editId="345C2E00">
            <wp:extent cx="1118870" cy="395605"/>
            <wp:effectExtent l="0" t="0" r="5080" b="4445"/>
            <wp:docPr id="752621184" name="Picture 4" descr="A sign with a person and dollar symbol&#10;&#10;Description automatically generate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21184" name="Picture 4" descr="A sign with a person and dollar symbol&#10;&#10;Description automatically generated">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8870" cy="395605"/>
                    </a:xfrm>
                    <a:prstGeom prst="rect">
                      <a:avLst/>
                    </a:prstGeom>
                    <a:noFill/>
                    <a:ln>
                      <a:noFill/>
                    </a:ln>
                  </pic:spPr>
                </pic:pic>
              </a:graphicData>
            </a:graphic>
          </wp:inline>
        </w:drawing>
      </w:r>
    </w:p>
    <w:p w14:paraId="41CBC5EA" w14:textId="2F15C635" w:rsidR="00E02D65" w:rsidRPr="006E3DB4" w:rsidRDefault="00E02D65" w:rsidP="00D06F13">
      <w:pPr>
        <w:rPr>
          <w:sz w:val="22"/>
          <w:szCs w:val="20"/>
        </w:rPr>
      </w:pPr>
      <w:hyperlink r:id="rId19" w:tgtFrame="_blank" w:history="1">
        <w:r w:rsidRPr="006E3DB4">
          <w:rPr>
            <w:rStyle w:val="Hyperlink"/>
            <w:sz w:val="22"/>
            <w:szCs w:val="20"/>
          </w:rPr>
          <w:t>CC BY-NC-SA</w:t>
        </w:r>
      </w:hyperlink>
      <w:r w:rsidRPr="006E3DB4">
        <w:rPr>
          <w:sz w:val="22"/>
          <w:szCs w:val="20"/>
        </w:rPr>
        <w:t>: This license allows reusers to distribute, remix, adapt, and build upon the material in any medium or format for noncommercial purposes only, and only so long as attribution is given to the creator. If you remix, adapt, or build upon the material, you must license the modified material under identical terms. </w:t>
      </w:r>
    </w:p>
    <w:p w14:paraId="0217F9A2" w14:textId="7C74A326" w:rsidR="00805346" w:rsidRPr="006244AC" w:rsidRDefault="00E02D65">
      <w:pPr>
        <w:rPr>
          <w:sz w:val="22"/>
          <w:szCs w:val="20"/>
        </w:rPr>
      </w:pPr>
      <w:r w:rsidRPr="006E3DB4">
        <w:rPr>
          <w:sz w:val="22"/>
          <w:szCs w:val="20"/>
        </w:rPr>
        <w:t>CC BY-NC-SA includes the following elements:</w:t>
      </w:r>
      <w:r w:rsidRPr="006E3DB4">
        <w:rPr>
          <w:sz w:val="22"/>
          <w:szCs w:val="20"/>
        </w:rPr>
        <w:br/>
        <w:t>BY </w:t>
      </w:r>
      <w:r w:rsidRPr="006E3DB4">
        <w:rPr>
          <w:sz w:val="22"/>
          <w:szCs w:val="20"/>
        </w:rPr>
        <w:drawing>
          <wp:inline distT="0" distB="0" distL="0" distR="0" wp14:anchorId="65E28599" wp14:editId="0B21001D">
            <wp:extent cx="286385" cy="286385"/>
            <wp:effectExtent l="0" t="0" r="0" b="0"/>
            <wp:docPr id="216491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6E3DB4">
        <w:rPr>
          <w:sz w:val="22"/>
          <w:szCs w:val="20"/>
        </w:rPr>
        <w:t> – Credit must be given to the creator</w:t>
      </w:r>
      <w:r w:rsidRPr="006E3DB4">
        <w:rPr>
          <w:sz w:val="22"/>
          <w:szCs w:val="20"/>
        </w:rPr>
        <w:br/>
        <w:t>NC </w:t>
      </w:r>
      <w:r w:rsidRPr="006E3DB4">
        <w:rPr>
          <w:sz w:val="22"/>
          <w:szCs w:val="20"/>
        </w:rPr>
        <w:drawing>
          <wp:inline distT="0" distB="0" distL="0" distR="0" wp14:anchorId="3E2C2755" wp14:editId="14C8422E">
            <wp:extent cx="286385" cy="286385"/>
            <wp:effectExtent l="0" t="0" r="0" b="0"/>
            <wp:docPr id="533538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6E3DB4">
        <w:rPr>
          <w:sz w:val="22"/>
          <w:szCs w:val="20"/>
        </w:rPr>
        <w:t> – Only noncommercial uses of the work are permitted</w:t>
      </w:r>
      <w:r w:rsidRPr="006E3DB4">
        <w:rPr>
          <w:sz w:val="22"/>
          <w:szCs w:val="20"/>
        </w:rPr>
        <w:br/>
        <w:t>SA </w:t>
      </w:r>
      <w:r w:rsidRPr="006E3DB4">
        <w:rPr>
          <w:sz w:val="22"/>
          <w:szCs w:val="20"/>
        </w:rPr>
        <w:drawing>
          <wp:inline distT="0" distB="0" distL="0" distR="0" wp14:anchorId="3EEDBF2C" wp14:editId="063F93BE">
            <wp:extent cx="300355" cy="300355"/>
            <wp:effectExtent l="0" t="0" r="4445" b="4445"/>
            <wp:docPr id="91248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6E3DB4">
        <w:rPr>
          <w:sz w:val="22"/>
          <w:szCs w:val="20"/>
        </w:rPr>
        <w:t> – Adaptations must be shared under the same terms</w:t>
      </w:r>
      <w:r w:rsidR="00805346">
        <w:rPr>
          <w:b/>
          <w:bCs/>
          <w:color w:val="940054"/>
          <w:sz w:val="48"/>
          <w:szCs w:val="48"/>
        </w:rPr>
        <w:br w:type="page"/>
      </w:r>
    </w:p>
    <w:p w14:paraId="79583EE1" w14:textId="5BD51355" w:rsidR="00B21F29" w:rsidRDefault="00737BF6" w:rsidP="00A81ED5">
      <w:pPr>
        <w:pStyle w:val="Heading1-report"/>
      </w:pPr>
      <w:r>
        <w:lastRenderedPageBreak/>
        <w:t>Contents</w:t>
      </w:r>
    </w:p>
    <w:p w14:paraId="4CB92353" w14:textId="77777777" w:rsidR="00750D38" w:rsidRDefault="00750D38" w:rsidP="00290831">
      <w:pPr>
        <w:sectPr w:rsidR="00750D38" w:rsidSect="00271E88">
          <w:type w:val="continuous"/>
          <w:pgSz w:w="11906" w:h="16838"/>
          <w:pgMar w:top="1701" w:right="1418" w:bottom="1440" w:left="1418" w:header="709" w:footer="709" w:gutter="0"/>
          <w:pgNumType w:start="0"/>
          <w:cols w:num="2" w:space="284"/>
          <w:titlePg/>
          <w:docGrid w:linePitch="360"/>
        </w:sectPr>
      </w:pPr>
    </w:p>
    <w:p w14:paraId="7EC94651" w14:textId="77777777" w:rsidR="00290831" w:rsidRPr="00030998" w:rsidRDefault="00290831" w:rsidP="00290831">
      <w:pPr>
        <w:rPr>
          <w:b/>
          <w:bCs/>
          <w:color w:val="201547"/>
        </w:rPr>
      </w:pPr>
    </w:p>
    <w:p w14:paraId="30762743" w14:textId="14BE4F23" w:rsidR="00B238F3" w:rsidRPr="00AB6DE8" w:rsidRDefault="00B238F3" w:rsidP="00AB6DE8">
      <w:pPr>
        <w:spacing w:before="360"/>
        <w:rPr>
          <w:b/>
          <w:bCs/>
          <w:color w:val="201547"/>
          <w:sz w:val="32"/>
          <w:szCs w:val="28"/>
        </w:rPr>
      </w:pPr>
      <w:r w:rsidRPr="00AB6DE8">
        <w:rPr>
          <w:b/>
          <w:bCs/>
          <w:color w:val="201547"/>
          <w:sz w:val="32"/>
          <w:szCs w:val="28"/>
        </w:rPr>
        <w:t>About this guide…………………………………………………………</w:t>
      </w:r>
      <w:r w:rsidR="00962290" w:rsidRPr="00AB6DE8">
        <w:rPr>
          <w:b/>
          <w:bCs/>
          <w:color w:val="201547"/>
          <w:sz w:val="32"/>
          <w:szCs w:val="28"/>
        </w:rPr>
        <w:t>……….………</w:t>
      </w:r>
      <w:r w:rsidR="00AB6DE8">
        <w:rPr>
          <w:b/>
          <w:bCs/>
          <w:color w:val="201547"/>
          <w:sz w:val="32"/>
          <w:szCs w:val="28"/>
        </w:rPr>
        <w:t>.</w:t>
      </w:r>
      <w:r w:rsidRPr="00AB6DE8">
        <w:rPr>
          <w:b/>
          <w:bCs/>
          <w:color w:val="201547"/>
          <w:sz w:val="32"/>
          <w:szCs w:val="28"/>
        </w:rPr>
        <w:t>.8</w:t>
      </w:r>
    </w:p>
    <w:p w14:paraId="596EECE2" w14:textId="618D5458" w:rsidR="00962290" w:rsidRPr="00AB6DE8" w:rsidRDefault="00962290" w:rsidP="00AB6DE8">
      <w:pPr>
        <w:spacing w:before="360"/>
        <w:rPr>
          <w:b/>
          <w:bCs/>
          <w:color w:val="201547"/>
          <w:sz w:val="32"/>
          <w:szCs w:val="28"/>
        </w:rPr>
      </w:pPr>
      <w:r w:rsidRPr="00AB6DE8">
        <w:rPr>
          <w:b/>
          <w:bCs/>
          <w:color w:val="201547"/>
          <w:sz w:val="32"/>
          <w:szCs w:val="28"/>
        </w:rPr>
        <w:t>About the Charter………………………………………………………………</w:t>
      </w:r>
      <w:r w:rsidR="00AB6DE8">
        <w:rPr>
          <w:b/>
          <w:bCs/>
          <w:color w:val="201547"/>
          <w:sz w:val="32"/>
          <w:szCs w:val="28"/>
        </w:rPr>
        <w:t>..</w:t>
      </w:r>
      <w:r w:rsidRPr="00AB6DE8">
        <w:rPr>
          <w:b/>
          <w:bCs/>
          <w:color w:val="201547"/>
          <w:sz w:val="32"/>
          <w:szCs w:val="28"/>
        </w:rPr>
        <w:t>….</w:t>
      </w:r>
      <w:r w:rsidR="00830456">
        <w:rPr>
          <w:b/>
          <w:bCs/>
          <w:color w:val="201547"/>
          <w:sz w:val="32"/>
          <w:szCs w:val="28"/>
        </w:rPr>
        <w:t>.</w:t>
      </w:r>
      <w:r w:rsidRPr="00AB6DE8">
        <w:rPr>
          <w:b/>
          <w:bCs/>
          <w:color w:val="201547"/>
          <w:sz w:val="32"/>
          <w:szCs w:val="28"/>
        </w:rPr>
        <w:t>.….9</w:t>
      </w:r>
    </w:p>
    <w:p w14:paraId="357C067C" w14:textId="1BC56C88" w:rsidR="00750D38" w:rsidRPr="00030998" w:rsidRDefault="00750D38" w:rsidP="00030998">
      <w:pPr>
        <w:spacing w:before="360"/>
        <w:rPr>
          <w:b/>
          <w:bCs/>
          <w:color w:val="201547"/>
          <w:sz w:val="32"/>
          <w:szCs w:val="28"/>
        </w:rPr>
      </w:pPr>
      <w:r w:rsidRPr="00030998">
        <w:rPr>
          <w:b/>
          <w:bCs/>
          <w:color w:val="201547"/>
          <w:sz w:val="32"/>
          <w:szCs w:val="28"/>
        </w:rPr>
        <w:t xml:space="preserve">1. Why human rights matter in the mental health and </w:t>
      </w:r>
      <w:r w:rsidR="00B238F3">
        <w:rPr>
          <w:b/>
          <w:bCs/>
          <w:color w:val="201547"/>
          <w:sz w:val="32"/>
          <w:szCs w:val="28"/>
        </w:rPr>
        <w:br/>
      </w:r>
      <w:r w:rsidRPr="00030998">
        <w:rPr>
          <w:b/>
          <w:bCs/>
          <w:color w:val="201547"/>
          <w:sz w:val="32"/>
          <w:szCs w:val="28"/>
        </w:rPr>
        <w:t>wellbeing system</w:t>
      </w:r>
      <w:r w:rsidR="00B238F3">
        <w:rPr>
          <w:b/>
          <w:bCs/>
          <w:color w:val="201547"/>
          <w:sz w:val="32"/>
          <w:szCs w:val="28"/>
        </w:rPr>
        <w:t>……………………………………………………………………</w:t>
      </w:r>
      <w:r w:rsidR="00B4738B">
        <w:rPr>
          <w:b/>
          <w:bCs/>
          <w:color w:val="201547"/>
          <w:sz w:val="32"/>
          <w:szCs w:val="28"/>
        </w:rPr>
        <w:t>……10</w:t>
      </w:r>
    </w:p>
    <w:p w14:paraId="42A17CCE" w14:textId="039E3666" w:rsidR="00863D37" w:rsidRPr="00030998" w:rsidRDefault="0023418F" w:rsidP="00030998">
      <w:pPr>
        <w:spacing w:before="360"/>
        <w:rPr>
          <w:b/>
          <w:bCs/>
          <w:color w:val="201547"/>
          <w:sz w:val="32"/>
          <w:szCs w:val="28"/>
        </w:rPr>
      </w:pPr>
      <w:r w:rsidRPr="00030998">
        <w:rPr>
          <w:b/>
          <w:bCs/>
          <w:color w:val="201547"/>
          <w:sz w:val="32"/>
          <w:szCs w:val="28"/>
        </w:rPr>
        <w:t>2. How to make decisions using human rights</w:t>
      </w:r>
      <w:r w:rsidR="00B4738B">
        <w:rPr>
          <w:b/>
          <w:bCs/>
          <w:color w:val="201547"/>
          <w:sz w:val="32"/>
          <w:szCs w:val="28"/>
        </w:rPr>
        <w:t>……………………………..15</w:t>
      </w:r>
    </w:p>
    <w:p w14:paraId="75A33320" w14:textId="3AC3E23A" w:rsidR="000355ED" w:rsidRPr="00030998" w:rsidRDefault="000355ED" w:rsidP="00030998">
      <w:pPr>
        <w:spacing w:before="360"/>
        <w:rPr>
          <w:b/>
          <w:bCs/>
          <w:color w:val="201547"/>
          <w:sz w:val="32"/>
          <w:szCs w:val="28"/>
        </w:rPr>
      </w:pPr>
      <w:r w:rsidRPr="00030998">
        <w:rPr>
          <w:b/>
          <w:bCs/>
          <w:color w:val="201547"/>
          <w:sz w:val="32"/>
          <w:szCs w:val="28"/>
        </w:rPr>
        <w:t>3. Implementation: Embedding human rights in the Mental Health and Wellbeing Division</w:t>
      </w:r>
      <w:r w:rsidR="00AB6DE8">
        <w:rPr>
          <w:b/>
          <w:bCs/>
          <w:color w:val="201547"/>
          <w:sz w:val="32"/>
          <w:szCs w:val="28"/>
        </w:rPr>
        <w:t>………………………………………………………………..29</w:t>
      </w:r>
    </w:p>
    <w:p w14:paraId="07951D47" w14:textId="77777777" w:rsidR="00290831" w:rsidRDefault="00290831" w:rsidP="00290831"/>
    <w:p w14:paraId="16EA2963" w14:textId="77777777" w:rsidR="00290831" w:rsidRDefault="00290831" w:rsidP="00290831"/>
    <w:p w14:paraId="029BD3CF" w14:textId="77777777" w:rsidR="00290831" w:rsidRDefault="00290831" w:rsidP="00290831"/>
    <w:p w14:paraId="17A28F7B" w14:textId="77777777" w:rsidR="005D36C7" w:rsidRPr="00616E92" w:rsidRDefault="005D36C7" w:rsidP="005D36C7">
      <w:pPr>
        <w:spacing w:before="60" w:after="0" w:line="192" w:lineRule="auto"/>
        <w:rPr>
          <w:rFonts w:cstheme="minorHAnsi"/>
          <w:color w:val="FFFFFF" w:themeColor="background1"/>
          <w:szCs w:val="24"/>
        </w:rPr>
        <w:sectPr w:rsidR="005D36C7" w:rsidRPr="00616E92" w:rsidSect="00750D38">
          <w:type w:val="continuous"/>
          <w:pgSz w:w="11906" w:h="16838"/>
          <w:pgMar w:top="1701" w:right="1418" w:bottom="1440" w:left="1418" w:header="709" w:footer="709" w:gutter="0"/>
          <w:pgNumType w:start="0"/>
          <w:cols w:space="284"/>
          <w:titlePg/>
          <w:docGrid w:linePitch="360"/>
        </w:sectPr>
      </w:pPr>
    </w:p>
    <w:p w14:paraId="758D1704" w14:textId="77777777" w:rsidR="00750D38" w:rsidRDefault="00750D38" w:rsidP="005D36C7">
      <w:pPr>
        <w:spacing w:before="60" w:after="0" w:line="192" w:lineRule="auto"/>
        <w:rPr>
          <w:rFonts w:cstheme="minorHAnsi"/>
          <w:szCs w:val="24"/>
          <w:highlight w:val="yellow"/>
        </w:rPr>
        <w:sectPr w:rsidR="00750D38" w:rsidSect="00750D38">
          <w:type w:val="continuous"/>
          <w:pgSz w:w="11906" w:h="16838"/>
          <w:pgMar w:top="1701" w:right="1418" w:bottom="1440" w:left="1418" w:header="709" w:footer="709" w:gutter="0"/>
          <w:pgNumType w:start="0"/>
          <w:cols w:space="284"/>
          <w:titlePg/>
          <w:docGrid w:linePitch="360"/>
        </w:sectPr>
      </w:pPr>
    </w:p>
    <w:p w14:paraId="57B1744C" w14:textId="77777777" w:rsidR="00A75ACF" w:rsidRDefault="00A75ACF" w:rsidP="005D36C7">
      <w:pPr>
        <w:spacing w:before="60" w:after="0" w:line="192" w:lineRule="auto"/>
        <w:rPr>
          <w:rFonts w:cstheme="minorHAnsi"/>
          <w:szCs w:val="24"/>
          <w:highlight w:val="yellow"/>
        </w:rPr>
      </w:pPr>
    </w:p>
    <w:p w14:paraId="5E5A29C6" w14:textId="77777777" w:rsidR="00A75ACF" w:rsidRDefault="00A75ACF" w:rsidP="005D36C7">
      <w:pPr>
        <w:spacing w:before="60" w:after="0" w:line="192" w:lineRule="auto"/>
        <w:rPr>
          <w:rFonts w:cstheme="minorHAnsi"/>
          <w:szCs w:val="24"/>
          <w:highlight w:val="yellow"/>
        </w:rPr>
      </w:pPr>
    </w:p>
    <w:p w14:paraId="064A0F28" w14:textId="77777777" w:rsidR="00A75ACF" w:rsidRDefault="00A75ACF" w:rsidP="005D36C7">
      <w:pPr>
        <w:spacing w:before="60" w:after="0" w:line="192" w:lineRule="auto"/>
        <w:rPr>
          <w:rFonts w:cstheme="minorHAnsi"/>
          <w:szCs w:val="24"/>
          <w:highlight w:val="yellow"/>
        </w:rPr>
      </w:pPr>
    </w:p>
    <w:p w14:paraId="033DA945" w14:textId="77777777" w:rsidR="00A75ACF" w:rsidRDefault="00A75ACF" w:rsidP="005D36C7">
      <w:pPr>
        <w:spacing w:before="60" w:after="0" w:line="192" w:lineRule="auto"/>
        <w:rPr>
          <w:rFonts w:cstheme="minorHAnsi"/>
          <w:szCs w:val="24"/>
          <w:highlight w:val="yellow"/>
        </w:rPr>
      </w:pPr>
    </w:p>
    <w:p w14:paraId="1853813E" w14:textId="1F439F5D" w:rsidR="00B21F29" w:rsidRDefault="00B21F29">
      <w:pPr>
        <w:rPr>
          <w:b/>
          <w:bCs/>
          <w:color w:val="940054"/>
          <w:sz w:val="48"/>
          <w:szCs w:val="48"/>
        </w:rPr>
      </w:pPr>
      <w:r>
        <w:rPr>
          <w:b/>
          <w:bCs/>
          <w:color w:val="940054"/>
          <w:sz w:val="48"/>
          <w:szCs w:val="48"/>
        </w:rPr>
        <w:br w:type="page"/>
      </w:r>
    </w:p>
    <w:p w14:paraId="112D944E" w14:textId="24C88488" w:rsidR="00512495" w:rsidRDefault="00512495" w:rsidP="00991613">
      <w:pPr>
        <w:pStyle w:val="Heading1-report"/>
      </w:pPr>
      <w:r>
        <w:lastRenderedPageBreak/>
        <w:t>About this guide</w:t>
      </w:r>
    </w:p>
    <w:p w14:paraId="73575B59" w14:textId="5BB1C46B" w:rsidR="00AC782C" w:rsidRDefault="006D369E">
      <w:r>
        <w:t>This guide was prepare</w:t>
      </w:r>
      <w:r w:rsidR="009758ED">
        <w:t>d</w:t>
      </w:r>
      <w:r>
        <w:t xml:space="preserve"> for the Mental Health and Wellbeing Division of the Department of Health</w:t>
      </w:r>
      <w:r w:rsidR="009758ED">
        <w:t xml:space="preserve">. It has been designed to support </w:t>
      </w:r>
      <w:r w:rsidR="00BA71F8">
        <w:t xml:space="preserve">the Division’s staff </w:t>
      </w:r>
      <w:r w:rsidR="00791F3C">
        <w:t xml:space="preserve">in promoting and protecting human rights </w:t>
      </w:r>
      <w:r w:rsidR="00AD723B">
        <w:t xml:space="preserve">as </w:t>
      </w:r>
      <w:r w:rsidR="009A657E">
        <w:t>they reform and manage Victoria’s mental health and wellbeing system.</w:t>
      </w:r>
    </w:p>
    <w:p w14:paraId="09A619E6" w14:textId="7623AF55" w:rsidR="00C048DC" w:rsidRPr="002D6953" w:rsidRDefault="00C048DC">
      <w:r>
        <w:t xml:space="preserve">While human rights exist at the </w:t>
      </w:r>
      <w:r w:rsidR="002D6953">
        <w:t xml:space="preserve">international, national and state level, this guide focuses on the </w:t>
      </w:r>
      <w:r w:rsidR="00394D5E">
        <w:t>rights and obligations</w:t>
      </w:r>
      <w:r w:rsidR="002D6953">
        <w:t xml:space="preserve"> in the </w:t>
      </w:r>
      <w:r w:rsidR="002D6953">
        <w:rPr>
          <w:i/>
          <w:iCs/>
        </w:rPr>
        <w:t xml:space="preserve">Charter of Human Rights and Responsibilities Act 2006 </w:t>
      </w:r>
      <w:r w:rsidR="002D6953">
        <w:t xml:space="preserve">(Vic) </w:t>
      </w:r>
      <w:r w:rsidR="00394D5E">
        <w:t>(</w:t>
      </w:r>
      <w:r w:rsidR="0031013B">
        <w:rPr>
          <w:b/>
          <w:bCs/>
        </w:rPr>
        <w:t>Charter</w:t>
      </w:r>
      <w:r w:rsidR="00394D5E">
        <w:t xml:space="preserve">) </w:t>
      </w:r>
      <w:r w:rsidR="002D6953">
        <w:t>under which Victorian public servants have direct legal obligations.</w:t>
      </w:r>
    </w:p>
    <w:p w14:paraId="1C6CA0FB" w14:textId="61241E67" w:rsidR="00C46B18" w:rsidRPr="002D6953" w:rsidRDefault="00C46B18" w:rsidP="00C46B18">
      <w:pPr>
        <w:pStyle w:val="Heading3-report"/>
      </w:pPr>
      <w:r>
        <w:t>Section 1 – why human rights matter</w:t>
      </w:r>
      <w:r w:rsidR="00B752B2">
        <w:t xml:space="preserve"> in the mental health and wellbeing system</w:t>
      </w:r>
    </w:p>
    <w:p w14:paraId="0E6880EC" w14:textId="77777777" w:rsidR="00C46B18" w:rsidRDefault="00C46B18" w:rsidP="00C46B18">
      <w:r>
        <w:t>Section 1 of this guide sets out the context for why human rights matter in the mental health and wellbeing system.</w:t>
      </w:r>
    </w:p>
    <w:p w14:paraId="5A269900" w14:textId="7E47D2E6" w:rsidR="00C46B18" w:rsidRDefault="00C46B18" w:rsidP="00C46B18">
      <w:pPr>
        <w:pStyle w:val="Heading3-report"/>
      </w:pPr>
      <w:r>
        <w:t xml:space="preserve">Section 2 – </w:t>
      </w:r>
      <w:r w:rsidR="00EE0E52">
        <w:t>how to make decisions using human rights</w:t>
      </w:r>
    </w:p>
    <w:p w14:paraId="15C888D8" w14:textId="77777777" w:rsidR="00C46B18" w:rsidRDefault="00C46B18" w:rsidP="00C46B18">
      <w:r>
        <w:t>Section 2 provides practical guidance on how to make decisions using human rights. It sets out three key steps: to forecast the impacts of a decision, assess the human rights impacts, and decide on how to proceed.</w:t>
      </w:r>
    </w:p>
    <w:p w14:paraId="493672E7" w14:textId="77777777" w:rsidR="00C46B18" w:rsidRDefault="00C46B18" w:rsidP="00C46B18">
      <w:pPr>
        <w:pStyle w:val="Heading3-report"/>
      </w:pPr>
      <w:r>
        <w:t>Section 3 – guidance on implementing human rights</w:t>
      </w:r>
    </w:p>
    <w:p w14:paraId="48E2D6BE" w14:textId="77777777" w:rsidR="00C46B18" w:rsidRDefault="00C46B18" w:rsidP="00C46B18">
      <w:r>
        <w:t>Section 3 provides guidance on implementing and embedding human rights across the Division’s work.</w:t>
      </w:r>
    </w:p>
    <w:p w14:paraId="5237F11D" w14:textId="77777777" w:rsidR="00F13E77" w:rsidRDefault="00F13E77" w:rsidP="00D0441B">
      <w:pPr>
        <w:pStyle w:val="Heading3-report"/>
      </w:pPr>
      <w:r>
        <w:t>Supporting materials</w:t>
      </w:r>
    </w:p>
    <w:p w14:paraId="6B1534BC" w14:textId="77777777" w:rsidR="00C0370C" w:rsidRDefault="00805DE8" w:rsidP="00C0370C">
      <w:r>
        <w:t>Three supporting documents accompany this guide.</w:t>
      </w:r>
    </w:p>
    <w:p w14:paraId="3AB8BD38" w14:textId="6CD24663" w:rsidR="00DF6BCE" w:rsidRDefault="008224D7" w:rsidP="00C0370C">
      <w:pPr>
        <w:pStyle w:val="Bullet"/>
      </w:pPr>
      <w:r>
        <w:rPr>
          <w:b/>
          <w:bCs/>
        </w:rPr>
        <w:t xml:space="preserve">A separate </w:t>
      </w:r>
      <w:r w:rsidR="00F63733">
        <w:rPr>
          <w:b/>
          <w:bCs/>
          <w:i/>
          <w:iCs/>
        </w:rPr>
        <w:t>Applying human rights</w:t>
      </w:r>
      <w:r w:rsidR="00F63733">
        <w:rPr>
          <w:b/>
          <w:bCs/>
        </w:rPr>
        <w:t xml:space="preserve"> document</w:t>
      </w:r>
      <w:r w:rsidR="00EE58D9" w:rsidRPr="00551F84">
        <w:rPr>
          <w:b/>
          <w:bCs/>
        </w:rPr>
        <w:t>:</w:t>
      </w:r>
      <w:r w:rsidR="00EE58D9" w:rsidRPr="00551F84">
        <w:t xml:space="preserve"> This separate appendix</w:t>
      </w:r>
      <w:r w:rsidR="007D0CEA">
        <w:t xml:space="preserve"> </w:t>
      </w:r>
      <w:r w:rsidR="0090624D">
        <w:t>provides a</w:t>
      </w:r>
      <w:r w:rsidR="008447D2">
        <w:t xml:space="preserve"> more detailed</w:t>
      </w:r>
      <w:r w:rsidR="0090624D">
        <w:t xml:space="preserve"> explanation of the </w:t>
      </w:r>
      <w:r w:rsidR="0090624D" w:rsidRPr="00C46B18">
        <w:t>20 human rights</w:t>
      </w:r>
      <w:r w:rsidR="0090624D">
        <w:t xml:space="preserve"> </w:t>
      </w:r>
      <w:r w:rsidR="009C05C6">
        <w:t>in the</w:t>
      </w:r>
      <w:r w:rsidR="00394D5E">
        <w:t xml:space="preserve"> Charter </w:t>
      </w:r>
      <w:r w:rsidR="004C0E21">
        <w:t xml:space="preserve">and </w:t>
      </w:r>
      <w:r w:rsidR="00EE5F9E">
        <w:t xml:space="preserve">gives </w:t>
      </w:r>
      <w:r w:rsidR="004C0E21">
        <w:t xml:space="preserve">examples </w:t>
      </w:r>
      <w:r w:rsidR="00EE5F9E">
        <w:t>for</w:t>
      </w:r>
      <w:r w:rsidR="004C0E21">
        <w:t xml:space="preserve"> how these rights may be relevant to work in the mental health and wellbeing system.</w:t>
      </w:r>
    </w:p>
    <w:p w14:paraId="5B146B13" w14:textId="16F388F4" w:rsidR="00C1443D" w:rsidRPr="00551F84" w:rsidRDefault="00B855CB" w:rsidP="009E21A8">
      <w:pPr>
        <w:pStyle w:val="Bullet"/>
      </w:pPr>
      <w:r>
        <w:rPr>
          <w:b/>
          <w:bCs/>
        </w:rPr>
        <w:t>An informal worksheet to help you think through human rights in your work.</w:t>
      </w:r>
    </w:p>
    <w:p w14:paraId="3DCF060A" w14:textId="36123EA5" w:rsidR="00B855CB" w:rsidRPr="00551F84" w:rsidRDefault="00C069AA" w:rsidP="00551F84">
      <w:pPr>
        <w:pStyle w:val="Bullet"/>
        <w:rPr>
          <w:b/>
        </w:rPr>
      </w:pPr>
      <w:r w:rsidRPr="00551F84">
        <w:rPr>
          <w:b/>
          <w:bCs/>
        </w:rPr>
        <w:t>An implementation checklist for the Division.</w:t>
      </w:r>
      <w:r>
        <w:rPr>
          <w:b/>
          <w:bCs/>
        </w:rPr>
        <w:br/>
      </w:r>
      <w:r>
        <w:rPr>
          <w:b/>
          <w:bCs/>
        </w:rPr>
        <w:br/>
      </w:r>
      <w:r>
        <w:rPr>
          <w:b/>
          <w:bCs/>
        </w:rPr>
        <w:br/>
      </w:r>
    </w:p>
    <w:p w14:paraId="11C36016" w14:textId="1B020878" w:rsidR="00131B8E" w:rsidRDefault="00131B8E" w:rsidP="00131B8E">
      <w:pPr>
        <w:pStyle w:val="Heading2-report"/>
        <w:spacing w:before="240"/>
        <w:ind w:firstLine="720"/>
      </w:pPr>
      <w:r>
        <w:rPr>
          <w:b w:val="0"/>
          <w:bCs w:val="0"/>
          <w:noProof/>
          <w:sz w:val="26"/>
          <w:szCs w:val="26"/>
        </w:rPr>
        <w:drawing>
          <wp:anchor distT="0" distB="0" distL="114300" distR="114300" simplePos="0" relativeHeight="251658252" behindDoc="0" locked="0" layoutInCell="1" allowOverlap="1" wp14:anchorId="1E9C00F3" wp14:editId="384C69ED">
            <wp:simplePos x="0" y="0"/>
            <wp:positionH relativeFrom="margin">
              <wp:align>left</wp:align>
            </wp:positionH>
            <wp:positionV relativeFrom="paragraph">
              <wp:posOffset>64401</wp:posOffset>
            </wp:positionV>
            <wp:extent cx="409575" cy="409575"/>
            <wp:effectExtent l="0" t="0" r="0" b="9525"/>
            <wp:wrapNone/>
            <wp:docPr id="35" name="Graphic 35"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Raised hand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t>A guide to the use of signs</w:t>
      </w:r>
    </w:p>
    <w:p w14:paraId="0F49D5CE" w14:textId="3CC63592" w:rsidR="00131B8E" w:rsidRPr="003751E1" w:rsidRDefault="00131B8E" w:rsidP="00131B8E">
      <w:pPr>
        <w:ind w:left="720"/>
      </w:pPr>
      <w:r>
        <w:t xml:space="preserve">We use this sign throughout the guide to signify that we are using examples. </w:t>
      </w:r>
    </w:p>
    <w:p w14:paraId="16EBA194" w14:textId="1684423F" w:rsidR="00E8303A" w:rsidRDefault="00512495">
      <w:pPr>
        <w:sectPr w:rsidR="00E8303A" w:rsidSect="00092F77">
          <w:type w:val="continuous"/>
          <w:pgSz w:w="11906" w:h="16838"/>
          <w:pgMar w:top="1701" w:right="1418" w:bottom="1440" w:left="1418" w:header="709" w:footer="709" w:gutter="0"/>
          <w:pgNumType w:start="0"/>
          <w:cols w:space="708"/>
          <w:titlePg/>
          <w:docGrid w:linePitch="360"/>
        </w:sectPr>
      </w:pPr>
      <w:r>
        <w:br w:type="page"/>
      </w:r>
    </w:p>
    <w:p w14:paraId="1C63C826" w14:textId="4F776AC8" w:rsidR="00DA6415" w:rsidRDefault="00DA6415">
      <w:r>
        <w:rPr>
          <w:noProof/>
          <w:color w:val="FFFFFF" w:themeColor="background1"/>
        </w:rPr>
        <w:lastRenderedPageBreak/>
        <w:drawing>
          <wp:anchor distT="0" distB="0" distL="114300" distR="114300" simplePos="0" relativeHeight="251658265" behindDoc="0" locked="0" layoutInCell="1" allowOverlap="1" wp14:anchorId="3348577E" wp14:editId="6B8FC3C6">
            <wp:simplePos x="0" y="0"/>
            <wp:positionH relativeFrom="page">
              <wp:align>right</wp:align>
            </wp:positionH>
            <wp:positionV relativeFrom="paragraph">
              <wp:posOffset>-900604</wp:posOffset>
            </wp:positionV>
            <wp:extent cx="10684580" cy="7553998"/>
            <wp:effectExtent l="0" t="0" r="2540" b="8890"/>
            <wp:wrapNone/>
            <wp:docPr id="1105053958" name="Picture 1105053958" descr="About the Charter&#10;&#10;The Charter of Human Rights &#10;and Responsibilities Act 2006 (Vic)&#10;(the Charter) is a law of the Victorian &#10;Parliament that was introduced in 2006. &#10;It aims to create a human rights ‘dialogue’&#10;amongst the different branches of government. &#10;It gives each branch of government a role. These roles are described briefly below. This guide focuses on the responsibilities of the executive.&#10;&#10;Parliament&#10;The Parliament’s principal role under&#10;the Charter is to consider human rights when making laws.&#10;&#10;Executive&#10;The Executive’s&#10;principal role is to comply &#10;with public authority duties to properly consider and comply with human rights.&#10;&#10;Courts&#10;The Judiciary’s role is to interpret &#10;all laws in the way most compatible with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53958" name="Picture 1105053958" descr="About the Charter&#10;&#10;The Charter of Human Rights &#10;and Responsibilities Act 2006 (Vic)&#10;(the Charter) is a law of the Victorian &#10;Parliament that was introduced in 2006. &#10;It aims to create a human rights ‘dialogue’&#10;amongst the different branches of government. &#10;It gives each branch of government a role. These roles are described briefly below. This guide focuses on the responsibilities of the executive.&#10;&#10;Parliament&#10;The Parliament’s principal role under&#10;the Charter is to consider human rights when making laws.&#10;&#10;Executive&#10;The Executive’s&#10;principal role is to comply &#10;with public authority duties to properly consider and comply with human rights.&#10;&#10;Courts&#10;The Judiciary’s role is to interpret &#10;all laws in the way most compatible with human rights."/>
                    <pic:cNvPicPr/>
                  </pic:nvPicPr>
                  <pic:blipFill>
                    <a:blip r:embed="rId25">
                      <a:extLst>
                        <a:ext uri="{28A0092B-C50C-407E-A947-70E740481C1C}">
                          <a14:useLocalDpi xmlns:a14="http://schemas.microsoft.com/office/drawing/2010/main" val="0"/>
                        </a:ext>
                      </a:extLst>
                    </a:blip>
                    <a:stretch>
                      <a:fillRect/>
                    </a:stretch>
                  </pic:blipFill>
                  <pic:spPr>
                    <a:xfrm>
                      <a:off x="0" y="0"/>
                      <a:ext cx="10684580" cy="7553998"/>
                    </a:xfrm>
                    <a:prstGeom prst="rect">
                      <a:avLst/>
                    </a:prstGeom>
                  </pic:spPr>
                </pic:pic>
              </a:graphicData>
            </a:graphic>
            <wp14:sizeRelH relativeFrom="margin">
              <wp14:pctWidth>0</wp14:pctWidth>
            </wp14:sizeRelH>
            <wp14:sizeRelV relativeFrom="margin">
              <wp14:pctHeight>0</wp14:pctHeight>
            </wp14:sizeRelV>
          </wp:anchor>
        </w:drawing>
      </w:r>
      <w:r w:rsidR="00E8303A" w:rsidRPr="00A2343E">
        <w:rPr>
          <w:noProof/>
          <w:color w:val="FFFFFF" w:themeColor="background1"/>
        </w:rPr>
        <mc:AlternateContent>
          <mc:Choice Requires="wps">
            <w:drawing>
              <wp:anchor distT="0" distB="0" distL="114300" distR="114300" simplePos="0" relativeHeight="251658251" behindDoc="1" locked="0" layoutInCell="1" allowOverlap="1" wp14:anchorId="7817BCBC" wp14:editId="17F183B9">
                <wp:simplePos x="0" y="0"/>
                <wp:positionH relativeFrom="page">
                  <wp:posOffset>1115219</wp:posOffset>
                </wp:positionH>
                <wp:positionV relativeFrom="paragraph">
                  <wp:posOffset>-2804319</wp:posOffset>
                </wp:positionV>
                <wp:extent cx="7789227" cy="11373802"/>
                <wp:effectExtent l="0" t="1588" r="20003" b="20002"/>
                <wp:wrapNone/>
                <wp:docPr id="55" name="Rectangle 55"/>
                <wp:cNvGraphicFramePr/>
                <a:graphic xmlns:a="http://schemas.openxmlformats.org/drawingml/2006/main">
                  <a:graphicData uri="http://schemas.microsoft.com/office/word/2010/wordprocessingShape">
                    <wps:wsp>
                      <wps:cNvSpPr/>
                      <wps:spPr>
                        <a:xfrm rot="5400000">
                          <a:off x="0" y="0"/>
                          <a:ext cx="7789227" cy="11373802"/>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5935" w14:textId="77777777" w:rsidR="00E8303A" w:rsidRDefault="00E8303A" w:rsidP="00E830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7BCBC" id="Rectangle 55" o:spid="_x0000_s1028" style="position:absolute;margin-left:87.8pt;margin-top:-220.8pt;width:613.3pt;height:895.55pt;rotation:90;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" fillcolor="#201547" strokecolor="#201547" strokeweight="1pt">
                <v:textbox>
                  <w:txbxContent>
                    <w:p w14:paraId="63365935" w14:textId="77777777" w:rsidR="00E8303A" w:rsidRDefault="00E8303A" w:rsidP="00E8303A"/>
                  </w:txbxContent>
                </v:textbox>
                <w10:wrap anchorx="page"/>
              </v:rect>
            </w:pict>
          </mc:Fallback>
        </mc:AlternateContent>
      </w:r>
    </w:p>
    <w:p w14:paraId="3BCE587A" w14:textId="77777777" w:rsidR="00DA6415" w:rsidRDefault="00DA6415">
      <w:r>
        <w:br w:type="page"/>
      </w:r>
    </w:p>
    <w:p w14:paraId="23030FC7" w14:textId="69900B4A" w:rsidR="00FC5CCA" w:rsidRDefault="00DA6415">
      <w:r>
        <w:rPr>
          <w:noProof/>
        </w:rPr>
        <w:lastRenderedPageBreak/>
        <w:drawing>
          <wp:anchor distT="0" distB="0" distL="114300" distR="114300" simplePos="0" relativeHeight="251658262" behindDoc="0" locked="0" layoutInCell="1" allowOverlap="1" wp14:anchorId="27FFDDB6" wp14:editId="4DB96547">
            <wp:simplePos x="0" y="0"/>
            <wp:positionH relativeFrom="page">
              <wp:align>right</wp:align>
            </wp:positionH>
            <wp:positionV relativeFrom="paragraph">
              <wp:posOffset>-898795</wp:posOffset>
            </wp:positionV>
            <wp:extent cx="10690738" cy="7558351"/>
            <wp:effectExtent l="0" t="0" r="0" b="5080"/>
            <wp:wrapNone/>
            <wp:docPr id="9" name="Picture 9" descr="Charter Rights&#10;You can learn more about each of these human rights in the separate appendix. Rights listed with images are:&#10;&#10;recognition and equality before the law&#10;life&#10;protection from torture and cruel, inhuman or degrading treatment&#10;freedom from forced work&#10;freedom of movement&#10;privacy and reputation&#10;freedom of thought, conscience, religion and belief&#10;freedom of expression&#10;peaceful assembly and freedom of association&#10;protection of families and children&#10;take part in public life&#10;enjoy your culture, practice your religion and speak your language&#10;not have your property taken away, unless the law says it can be taken&#10;liberty and security of person&#10;humane treatment when deprived of liberty&#10;certain protections for children in the criminal process&#10;a fair hearing&#10;certain protections in criminal proceedings&#10;not be tried or punished more than once for the same crime&#10;not be found guilty of a crime if the behaviour was not against the law when it hap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er Rights&#10;You can learn more about each of these human rights in the separate appendix. Rights listed with images are:&#10;&#10;recognition and equality before the law&#10;life&#10;protection from torture and cruel, inhuman or degrading treatment&#10;freedom from forced work&#10;freedom of movement&#10;privacy and reputation&#10;freedom of thought, conscience, religion and belief&#10;freedom of expression&#10;peaceful assembly and freedom of association&#10;protection of families and children&#10;take part in public life&#10;enjoy your culture, practice your religion and speak your language&#10;not have your property taken away, unless the law says it can be taken&#10;liberty and security of person&#10;humane treatment when deprived of liberty&#10;certain protections for children in the criminal process&#10;a fair hearing&#10;certain protections in criminal proceedings&#10;not be tried or punished more than once for the same crime&#10;not be found guilty of a crime if the behaviour was not against the law when it happened."/>
                    <pic:cNvPicPr/>
                  </pic:nvPicPr>
                  <pic:blipFill>
                    <a:blip r:embed="rId26">
                      <a:extLst>
                        <a:ext uri="{28A0092B-C50C-407E-A947-70E740481C1C}">
                          <a14:useLocalDpi xmlns:a14="http://schemas.microsoft.com/office/drawing/2010/main" val="0"/>
                        </a:ext>
                      </a:extLst>
                    </a:blip>
                    <a:stretch>
                      <a:fillRect/>
                    </a:stretch>
                  </pic:blipFill>
                  <pic:spPr>
                    <a:xfrm>
                      <a:off x="0" y="0"/>
                      <a:ext cx="10690738" cy="755835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tblpY="2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gridCol w:w="4563"/>
      </w:tblGrid>
      <w:tr w:rsidR="00E8303A" w14:paraId="272B4BE5" w14:textId="77777777" w:rsidTr="6D69D0D5">
        <w:tc>
          <w:tcPr>
            <w:tcW w:w="4562" w:type="dxa"/>
          </w:tcPr>
          <w:p w14:paraId="5F631719" w14:textId="0658EC09" w:rsidR="00E8303A" w:rsidRPr="003828D4" w:rsidRDefault="00E8303A" w:rsidP="00E8303A">
            <w:pPr>
              <w:jc w:val="center"/>
              <w:rPr>
                <w:color w:val="FFFFFF" w:themeColor="background1"/>
                <w:sz w:val="22"/>
                <w:szCs w:val="20"/>
              </w:rPr>
            </w:pPr>
          </w:p>
          <w:p w14:paraId="777A0560" w14:textId="10782E65" w:rsidR="00E8303A" w:rsidRPr="003828D4" w:rsidRDefault="00E8303A" w:rsidP="00E8303A">
            <w:pPr>
              <w:jc w:val="center"/>
              <w:rPr>
                <w:color w:val="FFFFFF" w:themeColor="background1"/>
                <w:sz w:val="22"/>
                <w:szCs w:val="20"/>
              </w:rPr>
            </w:pPr>
            <w:r w:rsidRPr="003828D4">
              <w:rPr>
                <w:color w:val="FFFFFF" w:themeColor="background1"/>
                <w:sz w:val="22"/>
                <w:szCs w:val="20"/>
              </w:rPr>
              <w:t xml:space="preserve">When introducing a bill to Parliament, a member must also introduce a Statement of Compatibility indicating how the proposed law is, or is not, compatible with human rights. The Scrutiny of Acts Committee reviews any new bill and reports to Parliament on its compatibility with Charter rights. The Parliament can pass an incompatible law in exceptional circumstances. </w:t>
            </w:r>
          </w:p>
        </w:tc>
        <w:tc>
          <w:tcPr>
            <w:tcW w:w="4562" w:type="dxa"/>
          </w:tcPr>
          <w:p w14:paraId="1F2D3847" w14:textId="77777777" w:rsidR="00E8303A" w:rsidRDefault="00E8303A" w:rsidP="00E8303A">
            <w:pPr>
              <w:jc w:val="center"/>
              <w:rPr>
                <w:color w:val="FFFFFF" w:themeColor="background1"/>
                <w:sz w:val="22"/>
                <w:szCs w:val="20"/>
              </w:rPr>
            </w:pPr>
          </w:p>
          <w:p w14:paraId="24D4ADC6" w14:textId="77777777" w:rsidR="00E8303A" w:rsidRPr="003828D4" w:rsidRDefault="00E8303A" w:rsidP="00E8303A">
            <w:pPr>
              <w:jc w:val="center"/>
              <w:rPr>
                <w:color w:val="FFFFFF" w:themeColor="background1"/>
                <w:sz w:val="22"/>
                <w:szCs w:val="20"/>
              </w:rPr>
            </w:pPr>
            <w:r>
              <w:rPr>
                <w:color w:val="FFFFFF" w:themeColor="background1"/>
                <w:sz w:val="22"/>
                <w:szCs w:val="20"/>
              </w:rPr>
              <w:t>Public authorities must, in making a decision, properly consider and comply with human rights. This duty is the focus of this resource.</w:t>
            </w:r>
          </w:p>
        </w:tc>
        <w:tc>
          <w:tcPr>
            <w:tcW w:w="4563" w:type="dxa"/>
          </w:tcPr>
          <w:p w14:paraId="0E1B3E54" w14:textId="77777777" w:rsidR="00E8303A" w:rsidRDefault="00E8303A" w:rsidP="00E8303A">
            <w:pPr>
              <w:jc w:val="center"/>
              <w:rPr>
                <w:color w:val="FFFFFF" w:themeColor="background1"/>
                <w:sz w:val="22"/>
                <w:szCs w:val="20"/>
              </w:rPr>
            </w:pPr>
          </w:p>
          <w:p w14:paraId="4632D53C" w14:textId="1D86E13D" w:rsidR="00E8303A" w:rsidRPr="003828D4" w:rsidRDefault="00E8303A" w:rsidP="00E8303A">
            <w:pPr>
              <w:jc w:val="center"/>
              <w:rPr>
                <w:color w:val="FFFFFF" w:themeColor="background1"/>
                <w:sz w:val="22"/>
                <w:szCs w:val="20"/>
              </w:rPr>
            </w:pPr>
            <w:r>
              <w:rPr>
                <w:color w:val="FFFFFF" w:themeColor="background1"/>
                <w:sz w:val="22"/>
                <w:szCs w:val="20"/>
              </w:rPr>
              <w:t xml:space="preserve">A court, when interpreting other laws, cannot invalidate those laws if they are not compatible with the Charter. Instead, they can make a ‘declaration of inconsistent interpretation’ which is provided to Parliament. Courts should interpret existing laws, in ways that best </w:t>
            </w:r>
            <w:r w:rsidR="00E35C48">
              <w:rPr>
                <w:color w:val="FFFFFF" w:themeColor="background1"/>
                <w:sz w:val="22"/>
                <w:szCs w:val="20"/>
              </w:rPr>
              <w:br/>
            </w:r>
            <w:r>
              <w:rPr>
                <w:color w:val="FFFFFF" w:themeColor="background1"/>
                <w:sz w:val="22"/>
                <w:szCs w:val="20"/>
              </w:rPr>
              <w:t>uphold human rights</w:t>
            </w:r>
            <w:r w:rsidR="00E35C48">
              <w:rPr>
                <w:color w:val="FFFFFF" w:themeColor="background1"/>
                <w:sz w:val="22"/>
                <w:szCs w:val="20"/>
              </w:rPr>
              <w:t xml:space="preserve"> to the extent possible</w:t>
            </w:r>
            <w:r>
              <w:rPr>
                <w:color w:val="FFFFFF" w:themeColor="background1"/>
                <w:sz w:val="22"/>
                <w:szCs w:val="20"/>
              </w:rPr>
              <w:t>.</w:t>
            </w:r>
          </w:p>
        </w:tc>
      </w:tr>
    </w:tbl>
    <w:p w14:paraId="065A758F" w14:textId="77072E81" w:rsidR="00E8303A" w:rsidRDefault="00E8303A" w:rsidP="00991613">
      <w:pPr>
        <w:pStyle w:val="Heading1-report"/>
        <w:sectPr w:rsidR="00E8303A" w:rsidSect="00B161AE">
          <w:pgSz w:w="16838" w:h="11906" w:orient="landscape"/>
          <w:pgMar w:top="1418" w:right="1701" w:bottom="1418" w:left="1440" w:header="709" w:footer="709" w:gutter="0"/>
          <w:pgNumType w:start="0"/>
          <w:cols w:space="708"/>
          <w:titlePg/>
          <w:docGrid w:linePitch="360"/>
        </w:sectPr>
      </w:pPr>
    </w:p>
    <w:p w14:paraId="1815E19F" w14:textId="59DAE2F3" w:rsidR="00263FC8" w:rsidRPr="00991613" w:rsidRDefault="000463F8" w:rsidP="00991613">
      <w:pPr>
        <w:pStyle w:val="Heading1-report"/>
      </w:pPr>
      <w:r>
        <w:lastRenderedPageBreak/>
        <w:t>1</w:t>
      </w:r>
      <w:r w:rsidR="00531A16">
        <w:t xml:space="preserve">. </w:t>
      </w:r>
      <w:r w:rsidR="00005DB1">
        <w:t xml:space="preserve">Why human </w:t>
      </w:r>
      <w:r w:rsidR="00005DB1" w:rsidRPr="00F476A4">
        <w:t xml:space="preserve">rights matter in the mental health </w:t>
      </w:r>
      <w:r w:rsidR="005B2BC8" w:rsidRPr="00F476A4">
        <w:t xml:space="preserve">and wellbeing </w:t>
      </w:r>
      <w:r w:rsidR="00005DB1" w:rsidRPr="00F476A4">
        <w:t>system</w:t>
      </w:r>
    </w:p>
    <w:p w14:paraId="6EB732AF" w14:textId="32FB6745" w:rsidR="00F2455F" w:rsidRDefault="6D69D0D5" w:rsidP="00105922">
      <w:pPr>
        <w:rPr>
          <w:b/>
          <w:bCs/>
          <w:color w:val="201547"/>
          <w:sz w:val="26"/>
          <w:szCs w:val="26"/>
        </w:rPr>
      </w:pPr>
      <w:r w:rsidRPr="6D69D0D5">
        <w:rPr>
          <w:b/>
          <w:bCs/>
          <w:color w:val="201547"/>
          <w:sz w:val="26"/>
          <w:szCs w:val="26"/>
        </w:rPr>
        <w:t xml:space="preserve">The Royal Commission’s ambition is for a mental health and wellbeing system based on human rights. While the system has a </w:t>
      </w:r>
      <w:r w:rsidR="004B6865">
        <w:rPr>
          <w:b/>
          <w:bCs/>
          <w:color w:val="201547"/>
          <w:sz w:val="26"/>
          <w:szCs w:val="26"/>
        </w:rPr>
        <w:t>difficult</w:t>
      </w:r>
      <w:r w:rsidRPr="6D69D0D5">
        <w:rPr>
          <w:b/>
          <w:bCs/>
          <w:color w:val="201547"/>
          <w:sz w:val="26"/>
          <w:szCs w:val="26"/>
        </w:rPr>
        <w:t xml:space="preserve"> history with human rights, the legal framework is now in place to start moving the system towards human rights protection and promotion. It places responsibility for human rights throughout the system—from the department through to designated mental health services and oversight bodies. Upholding human rights make a safer, fairer and more humane mental health and wellbeing system.</w:t>
      </w:r>
    </w:p>
    <w:p w14:paraId="52C42CAB" w14:textId="25019EE8" w:rsidR="00105922" w:rsidRDefault="00105922" w:rsidP="00105922">
      <w:r>
        <w:t xml:space="preserve">At its heart, a mental health and wellbeing system </w:t>
      </w:r>
      <w:r w:rsidR="006E7675">
        <w:t>should aim</w:t>
      </w:r>
      <w:r>
        <w:t xml:space="preserve"> to support people’s human rights: to support </w:t>
      </w:r>
      <w:r w:rsidR="00314A12">
        <w:t>good health and safety</w:t>
      </w:r>
      <w:r w:rsidR="005849B3">
        <w:t xml:space="preserve"> of people who are an equal part of Victoria’s economic, social</w:t>
      </w:r>
      <w:r>
        <w:t xml:space="preserve">, </w:t>
      </w:r>
      <w:r w:rsidR="000B3F7A">
        <w:t>and</w:t>
      </w:r>
      <w:r w:rsidR="005849B3">
        <w:t xml:space="preserve"> cultural life</w:t>
      </w:r>
      <w:r>
        <w:t xml:space="preserve">. Many people join the </w:t>
      </w:r>
      <w:r w:rsidR="00156ED5">
        <w:t>workforce to support this</w:t>
      </w:r>
      <w:r w:rsidR="00C46B18">
        <w:t xml:space="preserve"> kind of system</w:t>
      </w:r>
      <w:r>
        <w:t>.</w:t>
      </w:r>
    </w:p>
    <w:p w14:paraId="5ED86269" w14:textId="2EDF5096" w:rsidR="00AB7D13" w:rsidRDefault="00AB7D13" w:rsidP="00962DBD">
      <w:pPr>
        <w:pStyle w:val="Heading3-report"/>
      </w:pPr>
      <w:r>
        <w:t>The m</w:t>
      </w:r>
      <w:r w:rsidR="00962DBD">
        <w:t>ental health system has a complex history with human rights</w:t>
      </w:r>
    </w:p>
    <w:p w14:paraId="5686C34B" w14:textId="016198FD" w:rsidR="00105922" w:rsidRPr="00A321A6" w:rsidRDefault="00C77A61" w:rsidP="00060252">
      <w:r>
        <w:t>The Royal Commission found that ‘[t]he [current] system’s failure can be linked to its origins’.</w:t>
      </w:r>
      <w:r w:rsidRPr="00EB2274">
        <w:rPr>
          <w:rStyle w:val="FootnoteReference"/>
        </w:rPr>
        <w:footnoteReference w:id="2"/>
      </w:r>
      <w:r>
        <w:t xml:space="preserve"> </w:t>
      </w:r>
      <w:r w:rsidR="00105922">
        <w:t>When we consider the origins of mental health practice, there were attempts to create places of refuge or asylum (sanctuary) for people experiencing distress. But, driven by discrimination</w:t>
      </w:r>
      <w:r w:rsidR="6D69D0D5">
        <w:t>, processes of modernisation</w:t>
      </w:r>
      <w:r w:rsidR="00105922">
        <w:t xml:space="preserve"> and </w:t>
      </w:r>
      <w:r w:rsidR="6D69D0D5">
        <w:t xml:space="preserve">a </w:t>
      </w:r>
      <w:r w:rsidR="00105922">
        <w:t>fear of difference, in the 19th and 20th centuries, people with behaviours considered to be abnormal were often removed from their families and communities, segregated, and stigmatised in institutions.</w:t>
      </w:r>
      <w:r w:rsidR="00B21CAC" w:rsidRPr="00EB2274">
        <w:rPr>
          <w:rStyle w:val="FootnoteReference"/>
        </w:rPr>
        <w:footnoteReference w:id="3"/>
      </w:r>
      <w:r w:rsidR="00105922">
        <w:t xml:space="preserve"> </w:t>
      </w:r>
    </w:p>
    <w:p w14:paraId="0AFEE732" w14:textId="1ABCD372" w:rsidR="00105922" w:rsidRDefault="00105922" w:rsidP="00105922">
      <w:r>
        <w:t>Mental health laws developed to support and empower the operation of this system w</w:t>
      </w:r>
      <w:r w:rsidR="00B856C0">
        <w:t>h</w:t>
      </w:r>
      <w:r>
        <w:t xml:space="preserve">ere people could be detained and treated without </w:t>
      </w:r>
      <w:r w:rsidR="00B856C0">
        <w:t xml:space="preserve">their </w:t>
      </w:r>
      <w:r>
        <w:t xml:space="preserve">consent. In doing so, these laws </w:t>
      </w:r>
      <w:r w:rsidR="00441B15">
        <w:t xml:space="preserve">disempowered </w:t>
      </w:r>
      <w:r w:rsidR="00A37DE2">
        <w:t xml:space="preserve">many </w:t>
      </w:r>
      <w:r w:rsidR="00441B15">
        <w:t xml:space="preserve">consumers. </w:t>
      </w:r>
      <w:r w:rsidR="00A37DE2">
        <w:t xml:space="preserve">They also </w:t>
      </w:r>
      <w:r>
        <w:t xml:space="preserve">entrenched a discriminatory approach to people diagnosed with </w:t>
      </w:r>
      <w:r w:rsidR="00A37DE2">
        <w:t>a mental health issue or psychological distress</w:t>
      </w:r>
      <w:r w:rsidR="006C79E5">
        <w:t xml:space="preserve"> by </w:t>
      </w:r>
      <w:r w:rsidR="00C07AE3">
        <w:t>limiting their</w:t>
      </w:r>
      <w:r w:rsidR="00F544E6">
        <w:t xml:space="preserve"> rights in ways that aren’t </w:t>
      </w:r>
      <w:r w:rsidR="00873B29">
        <w:t xml:space="preserve">allowed </w:t>
      </w:r>
      <w:r w:rsidR="001F178F">
        <w:t>for</w:t>
      </w:r>
      <w:r w:rsidR="004F31AB">
        <w:t xml:space="preserve"> </w:t>
      </w:r>
      <w:r w:rsidR="00F339AD">
        <w:t>the rest of the community</w:t>
      </w:r>
      <w:r w:rsidR="00966274">
        <w:t>.</w:t>
      </w:r>
      <w:r w:rsidR="0087098F">
        <w:t xml:space="preserve"> </w:t>
      </w:r>
    </w:p>
    <w:p w14:paraId="6FF81F8F" w14:textId="4666ADE9" w:rsidR="00105922" w:rsidRDefault="00105922" w:rsidP="00105922">
      <w:r>
        <w:t>Over time, rights protections were built into these laws</w:t>
      </w:r>
      <w:r w:rsidR="00374EFE">
        <w:t>. However,</w:t>
      </w:r>
      <w:r>
        <w:t xml:space="preserve"> even as recently as the </w:t>
      </w:r>
      <w:r>
        <w:rPr>
          <w:i/>
          <w:iCs/>
        </w:rPr>
        <w:t xml:space="preserve">Mental Health Act 2014 </w:t>
      </w:r>
      <w:r>
        <w:t xml:space="preserve">(Vic), legislation was still focused on creating the </w:t>
      </w:r>
      <w:r w:rsidR="002D0361">
        <w:t>authorising</w:t>
      </w:r>
      <w:r>
        <w:t xml:space="preserve"> environment and parameters around compulsory treatment.</w:t>
      </w:r>
      <w:r w:rsidR="00C5006B">
        <w:t xml:space="preserve"> </w:t>
      </w:r>
      <w:r w:rsidR="005B6FF5">
        <w:t>In so doing, t</w:t>
      </w:r>
      <w:r w:rsidR="001F7163">
        <w:t>he Act does not</w:t>
      </w:r>
      <w:r w:rsidR="003020F1">
        <w:t xml:space="preserve"> </w:t>
      </w:r>
      <w:r w:rsidR="005661B1">
        <w:t xml:space="preserve">align with the </w:t>
      </w:r>
      <w:r w:rsidR="005661B1">
        <w:rPr>
          <w:i/>
          <w:iCs/>
        </w:rPr>
        <w:t xml:space="preserve">Convention on the Rights of Persons with </w:t>
      </w:r>
      <w:r w:rsidR="005661B1" w:rsidRPr="00B02D09">
        <w:t>Disabilities</w:t>
      </w:r>
      <w:r w:rsidR="00B6038C">
        <w:t xml:space="preserve"> (</w:t>
      </w:r>
      <w:r w:rsidR="00B6038C" w:rsidRPr="004900F0">
        <w:rPr>
          <w:bCs/>
        </w:rPr>
        <w:t>CRPD</w:t>
      </w:r>
      <w:r w:rsidR="00B6038C">
        <w:t>)</w:t>
      </w:r>
      <w:r w:rsidR="005661B1">
        <w:t>.</w:t>
      </w:r>
      <w:r w:rsidR="005661B1" w:rsidRPr="00EB2274">
        <w:rPr>
          <w:rStyle w:val="FootnoteReference"/>
        </w:rPr>
        <w:footnoteReference w:id="4"/>
      </w:r>
      <w:r w:rsidR="005661B1">
        <w:t xml:space="preserve"> </w:t>
      </w:r>
      <w:r w:rsidR="00C5006B">
        <w:t>The</w:t>
      </w:r>
      <w:r w:rsidR="006073EA">
        <w:t xml:space="preserve"> law</w:t>
      </w:r>
      <w:r w:rsidR="00C5006B">
        <w:t xml:space="preserve"> still </w:t>
      </w:r>
      <w:r w:rsidR="00C5006B">
        <w:lastRenderedPageBreak/>
        <w:t>followed, as former Mental Health Review Board President Professor Neil Rees said, a process of ‘</w:t>
      </w:r>
      <w:r w:rsidR="00887F4A">
        <w:t xml:space="preserve">crisis, followed by inquiry, followed by </w:t>
      </w:r>
      <w:r w:rsidR="00813B07">
        <w:t>legislation</w:t>
      </w:r>
      <w:r w:rsidR="00887F4A">
        <w:t>’.</w:t>
      </w:r>
      <w:r w:rsidR="00193E5C" w:rsidRPr="00EB2274">
        <w:rPr>
          <w:rStyle w:val="FootnoteReference"/>
        </w:rPr>
        <w:footnoteReference w:id="5"/>
      </w:r>
    </w:p>
    <w:p w14:paraId="1CDFAC35" w14:textId="0510CB52" w:rsidR="00105922" w:rsidRDefault="00E46B11" w:rsidP="00105922">
      <w:r>
        <w:t>W</w:t>
      </w:r>
      <w:r w:rsidR="00105922">
        <w:t xml:space="preserve">hen </w:t>
      </w:r>
      <w:r>
        <w:t xml:space="preserve">long-term psychiatric </w:t>
      </w:r>
      <w:r w:rsidR="00105922">
        <w:t>institutions began to be dismantled from the 1980</w:t>
      </w:r>
      <w:r w:rsidR="0057474F">
        <w:t>’</w:t>
      </w:r>
      <w:r w:rsidR="00105922">
        <w:t xml:space="preserve">s, there was a desire to move to a community-based model of care. </w:t>
      </w:r>
      <w:r w:rsidR="0051013D">
        <w:t xml:space="preserve">The Royal Commission observed </w:t>
      </w:r>
      <w:r w:rsidR="00105922">
        <w:t>that:</w:t>
      </w:r>
    </w:p>
    <w:p w14:paraId="7EABC0E7" w14:textId="05BE8883" w:rsidR="00033328" w:rsidRDefault="6D69D0D5" w:rsidP="00033328">
      <w:pPr>
        <w:pStyle w:val="Blockquote"/>
        <w:rPr>
          <w:rStyle w:val="Strong"/>
          <w:b w:val="0"/>
          <w:bCs w:val="0"/>
        </w:rPr>
      </w:pPr>
      <w:r w:rsidRPr="6D69D0D5">
        <w:rPr>
          <w:rStyle w:val="Strong"/>
          <w:b w:val="0"/>
          <w:bCs w:val="0"/>
        </w:rPr>
        <w:t>while there had been social change since then, such as a strengthened focus on protecting and promoting human rights and the consumer movement, Victoria’s mental health system has not kept pace. It has drifted away from its earlier aspirations of a community-based system</w:t>
      </w:r>
      <w:r w:rsidR="00F57272">
        <w:rPr>
          <w:rStyle w:val="Strong"/>
          <w:b w:val="0"/>
          <w:bCs w:val="0"/>
        </w:rPr>
        <w:t xml:space="preserve"> </w:t>
      </w:r>
      <w:r w:rsidR="00184DBF">
        <w:rPr>
          <w:rStyle w:val="Strong"/>
          <w:b w:val="0"/>
          <w:bCs w:val="0"/>
        </w:rPr>
        <w:t>.</w:t>
      </w:r>
      <w:r w:rsidRPr="6D69D0D5">
        <w:rPr>
          <w:rStyle w:val="Strong"/>
          <w:b w:val="0"/>
          <w:bCs w:val="0"/>
        </w:rPr>
        <w:t>..</w:t>
      </w:r>
      <w:r w:rsidR="00382BF0">
        <w:rPr>
          <w:rStyle w:val="Strong"/>
          <w:b w:val="0"/>
          <w:bCs w:val="0"/>
        </w:rPr>
        <w:t xml:space="preserve"> .</w:t>
      </w:r>
    </w:p>
    <w:p w14:paraId="449B1F3D" w14:textId="2631BF00" w:rsidR="00033328" w:rsidRPr="00B10411" w:rsidRDefault="00031525" w:rsidP="00B10411">
      <w:r>
        <w:t>The failure to achie</w:t>
      </w:r>
      <w:r w:rsidR="008003C8">
        <w:t>ve this promise may have been because people with lived experience were neither the authors nor [formal] leaders of this process</w:t>
      </w:r>
      <w:r w:rsidR="0027005A">
        <w:t>. Part of this exclusion from reform</w:t>
      </w:r>
      <w:r w:rsidR="005732A3">
        <w:t xml:space="preserve"> reflected the </w:t>
      </w:r>
      <w:r w:rsidR="00617714">
        <w:t>differing social status of mental health consumers and those who provide services</w:t>
      </w:r>
      <w:r w:rsidR="00B62C8C">
        <w:t>,</w:t>
      </w:r>
      <w:r w:rsidR="00617714">
        <w:t xml:space="preserve"> as well as the broader community.</w:t>
      </w:r>
      <w:r w:rsidR="004547BB">
        <w:t xml:space="preserve"> </w:t>
      </w:r>
      <w:r w:rsidR="00E50C9B">
        <w:t xml:space="preserve">This remains </w:t>
      </w:r>
      <w:r w:rsidR="00534392">
        <w:t>part of the system. The Royal Commission found</w:t>
      </w:r>
      <w:r w:rsidR="004547BB">
        <w:t>:</w:t>
      </w:r>
    </w:p>
    <w:p w14:paraId="28350295" w14:textId="3F8EF75E" w:rsidR="00105922" w:rsidRDefault="00382BF0" w:rsidP="00105922">
      <w:pPr>
        <w:pStyle w:val="Blockquote"/>
      </w:pPr>
      <w:r>
        <w:t>‘</w:t>
      </w:r>
      <w:r w:rsidR="00105922">
        <w:t>Power imbalances’ that disadvantage and marginalise people living with mental illness or experiencing psychological distress are still apparent.</w:t>
      </w:r>
      <w:r w:rsidR="00105922" w:rsidRPr="00EB2274">
        <w:rPr>
          <w:rStyle w:val="FootnoteReference"/>
        </w:rPr>
        <w:footnoteReference w:id="6"/>
      </w:r>
    </w:p>
    <w:p w14:paraId="34F07FFF" w14:textId="7033C1BB" w:rsidR="00703F03" w:rsidRDefault="003D1FA9" w:rsidP="00703F03">
      <w:pPr>
        <w:rPr>
          <w:rStyle w:val="Strong"/>
          <w:b w:val="0"/>
          <w:bCs w:val="0"/>
        </w:rPr>
      </w:pPr>
      <w:r>
        <w:rPr>
          <w:rStyle w:val="Strong"/>
          <w:b w:val="0"/>
          <w:bCs w:val="0"/>
        </w:rPr>
        <w:t>In fact, power imbalances both produce and are a product of, the failure to</w:t>
      </w:r>
      <w:r w:rsidR="00572776">
        <w:rPr>
          <w:rStyle w:val="Strong"/>
          <w:b w:val="0"/>
          <w:bCs w:val="0"/>
        </w:rPr>
        <w:t xml:space="preserve"> embed human rights norms in systems and cultures.</w:t>
      </w:r>
      <w:r w:rsidR="00572776" w:rsidRPr="00EB2274">
        <w:rPr>
          <w:rStyle w:val="FootnoteReference"/>
        </w:rPr>
        <w:footnoteReference w:id="7"/>
      </w:r>
      <w:r w:rsidR="00572776">
        <w:rPr>
          <w:rStyle w:val="Strong"/>
          <w:b w:val="0"/>
          <w:bCs w:val="0"/>
        </w:rPr>
        <w:t xml:space="preserve"> </w:t>
      </w:r>
      <w:r w:rsidR="00703F03">
        <w:rPr>
          <w:rStyle w:val="Strong"/>
          <w:b w:val="0"/>
          <w:bCs w:val="0"/>
        </w:rPr>
        <w:t>One person told the Royal Commission:</w:t>
      </w:r>
    </w:p>
    <w:p w14:paraId="0C5C707A" w14:textId="069D723C" w:rsidR="00703F03" w:rsidRDefault="008427DC" w:rsidP="00551F84">
      <w:pPr>
        <w:pStyle w:val="Blockquote"/>
        <w:rPr>
          <w:rStyle w:val="Strong"/>
          <w:b w:val="0"/>
          <w:bCs w:val="0"/>
        </w:rPr>
      </w:pPr>
      <w:r>
        <w:t>[T]he system impresses itself upon you and imprisons you. You can’t think from the medication. People stop calling your phone. Relationships are gone. Your life changes. Your person is dead. But you are meant to go on pretending that everything is normal. And you never have any choice about the matter. It’s an invisible and symbolic prison.</w:t>
      </w:r>
      <w:r w:rsidR="00453243" w:rsidRPr="00EB2274">
        <w:rPr>
          <w:rStyle w:val="FootnoteReference"/>
        </w:rPr>
        <w:footnoteReference w:id="8"/>
      </w:r>
    </w:p>
    <w:p w14:paraId="3B6B08FB" w14:textId="6A53391A" w:rsidR="00703F03" w:rsidRDefault="008427DC" w:rsidP="00184DBF">
      <w:pPr>
        <w:rPr>
          <w:rStyle w:val="Strong"/>
          <w:b w:val="0"/>
          <w:bCs w:val="0"/>
        </w:rPr>
      </w:pPr>
      <w:r>
        <w:rPr>
          <w:rStyle w:val="Strong"/>
          <w:b w:val="0"/>
          <w:bCs w:val="0"/>
        </w:rPr>
        <w:t>These should not be experiences in a new mental health and wellbeing system.</w:t>
      </w:r>
    </w:p>
    <w:p w14:paraId="4446B119" w14:textId="6AB32433" w:rsidR="00E858CB" w:rsidRPr="00E858CB" w:rsidRDefault="00E858CB" w:rsidP="00EA2B60">
      <w:pPr>
        <w:pStyle w:val="Heading3-report"/>
      </w:pPr>
      <w:r>
        <w:t>The Royal Commission’s vision for a system</w:t>
      </w:r>
      <w:r w:rsidR="00EA2B60">
        <w:t xml:space="preserve"> </w:t>
      </w:r>
      <w:r w:rsidR="000529FD">
        <w:t>based on</w:t>
      </w:r>
      <w:r w:rsidR="00C87BD6">
        <w:t xml:space="preserve"> human rights</w:t>
      </w:r>
    </w:p>
    <w:p w14:paraId="0A5131A8" w14:textId="15C277A9" w:rsidR="00105922" w:rsidRDefault="00082EA0" w:rsidP="00105922">
      <w:pPr>
        <w:rPr>
          <w:rStyle w:val="Strong"/>
          <w:b w:val="0"/>
          <w:bCs w:val="0"/>
        </w:rPr>
      </w:pPr>
      <w:r>
        <w:rPr>
          <w:rStyle w:val="Strong"/>
          <w:b w:val="0"/>
          <w:bCs w:val="0"/>
        </w:rPr>
        <w:t xml:space="preserve">Human rights are not just a legal duty on public servants; they are part of fulfilling the Royal Commission’s vision. </w:t>
      </w:r>
      <w:r w:rsidR="00105922">
        <w:rPr>
          <w:rStyle w:val="Strong"/>
          <w:b w:val="0"/>
          <w:bCs w:val="0"/>
        </w:rPr>
        <w:t xml:space="preserve">When it outlined </w:t>
      </w:r>
      <w:r>
        <w:rPr>
          <w:rStyle w:val="Strong"/>
          <w:b w:val="0"/>
          <w:bCs w:val="0"/>
        </w:rPr>
        <w:t xml:space="preserve">this </w:t>
      </w:r>
      <w:r w:rsidR="00105922">
        <w:rPr>
          <w:rStyle w:val="Strong"/>
          <w:b w:val="0"/>
          <w:bCs w:val="0"/>
        </w:rPr>
        <w:t>vision for a new mental health and wellbeing system, the Royal Commission noted that its ‘hope for Victorians to enjoy optimal mental health and wellbeing is based on a commitment to promote and uphold human rights and to focus on the promotion of good mental health and wellbeing’.</w:t>
      </w:r>
      <w:r w:rsidR="00105922" w:rsidRPr="00EB2274">
        <w:rPr>
          <w:rStyle w:val="FootnoteReference"/>
        </w:rPr>
        <w:footnoteReference w:id="9"/>
      </w:r>
      <w:r w:rsidR="00105922">
        <w:rPr>
          <w:rStyle w:val="Strong"/>
          <w:b w:val="0"/>
          <w:bCs w:val="0"/>
        </w:rPr>
        <w:t xml:space="preserve"> It went on to state that:</w:t>
      </w:r>
    </w:p>
    <w:p w14:paraId="67EABDC4" w14:textId="4ECE217C" w:rsidR="00105922" w:rsidRDefault="00105922" w:rsidP="00105922">
      <w:pPr>
        <w:pStyle w:val="Blockquote"/>
      </w:pPr>
      <w:r>
        <w:rPr>
          <w:rStyle w:val="Strong"/>
          <w:b w:val="0"/>
          <w:bCs w:val="0"/>
        </w:rPr>
        <w:lastRenderedPageBreak/>
        <w:t>In a contemporary mental health and wellbeing system, consumers’ human rights are respected every step of the way. Consumers are supported to make decisions that affect their own lives. Real changes will be put in place to shift practices and cultures, ensuring consumers’ human rights are upheld.</w:t>
      </w:r>
      <w:r w:rsidRPr="00EB2274">
        <w:rPr>
          <w:rStyle w:val="FootnoteReference"/>
        </w:rPr>
        <w:footnoteReference w:id="10"/>
      </w:r>
    </w:p>
    <w:p w14:paraId="26DD8438" w14:textId="41CF9835" w:rsidR="00105922" w:rsidRDefault="00082EA0" w:rsidP="00105922">
      <w:pPr>
        <w:rPr>
          <w:rStyle w:val="Strong"/>
          <w:b w:val="0"/>
          <w:bCs w:val="0"/>
        </w:rPr>
      </w:pPr>
      <w:r>
        <w:rPr>
          <w:rStyle w:val="Strong"/>
          <w:b w:val="0"/>
          <w:bCs w:val="0"/>
        </w:rPr>
        <w:t xml:space="preserve">Though still incompatible with international human rights law, the </w:t>
      </w:r>
      <w:r w:rsidRPr="00184DBF">
        <w:rPr>
          <w:rStyle w:val="Strong"/>
          <w:b w:val="0"/>
          <w:bCs w:val="0"/>
          <w:i/>
          <w:iCs/>
        </w:rPr>
        <w:t>Mental Health and Wellbeing Act</w:t>
      </w:r>
      <w:r w:rsidR="002D196D">
        <w:rPr>
          <w:rStyle w:val="Strong"/>
          <w:b w:val="0"/>
          <w:bCs w:val="0"/>
        </w:rPr>
        <w:t xml:space="preserve"> </w:t>
      </w:r>
      <w:r w:rsidR="002D196D">
        <w:rPr>
          <w:rStyle w:val="Strong"/>
          <w:b w:val="0"/>
          <w:bCs w:val="0"/>
          <w:i/>
          <w:iCs/>
        </w:rPr>
        <w:t xml:space="preserve">2022 </w:t>
      </w:r>
      <w:r w:rsidR="002D196D">
        <w:rPr>
          <w:rStyle w:val="Strong"/>
          <w:b w:val="0"/>
          <w:bCs w:val="0"/>
        </w:rPr>
        <w:t>(Vic)</w:t>
      </w:r>
      <w:r>
        <w:rPr>
          <w:rStyle w:val="Strong"/>
          <w:b w:val="0"/>
          <w:bCs w:val="0"/>
        </w:rPr>
        <w:t xml:space="preserve"> works towards this vision. </w:t>
      </w:r>
      <w:r w:rsidR="00624BB6">
        <w:rPr>
          <w:rStyle w:val="Strong"/>
          <w:b w:val="0"/>
          <w:bCs w:val="0"/>
        </w:rPr>
        <w:t>O</w:t>
      </w:r>
      <w:r w:rsidR="00105922">
        <w:rPr>
          <w:rStyle w:val="Strong"/>
          <w:b w:val="0"/>
          <w:bCs w:val="0"/>
        </w:rPr>
        <w:t>ne of its core objectives to ‘protect and promote the human rights and dignity of people living with mental illness by providing them with assessment and treatment in the least restrictive way possible in the circumstances’.</w:t>
      </w:r>
      <w:r w:rsidR="00105922" w:rsidRPr="00EB2274">
        <w:rPr>
          <w:rStyle w:val="FootnoteReference"/>
        </w:rPr>
        <w:footnoteReference w:id="11"/>
      </w:r>
      <w:r w:rsidR="00105922">
        <w:rPr>
          <w:rStyle w:val="Strong"/>
          <w:b w:val="0"/>
          <w:bCs w:val="0"/>
        </w:rPr>
        <w:t xml:space="preserve"> The Act also recognises that ‘[t]he use of compulsory assessment and treatment or restrictive interventions significantly limits a person’s human rights and may ca</w:t>
      </w:r>
      <w:r w:rsidR="00227F28">
        <w:rPr>
          <w:rStyle w:val="Strong"/>
          <w:b w:val="0"/>
          <w:bCs w:val="0"/>
        </w:rPr>
        <w:t>u</w:t>
      </w:r>
      <w:r w:rsidR="00105922">
        <w:rPr>
          <w:rStyle w:val="Strong"/>
          <w:b w:val="0"/>
          <w:bCs w:val="0"/>
        </w:rPr>
        <w:t xml:space="preserve">se </w:t>
      </w:r>
      <w:r w:rsidR="00DB4A2A">
        <w:rPr>
          <w:rStyle w:val="Strong"/>
          <w:b w:val="0"/>
          <w:bCs w:val="0"/>
        </w:rPr>
        <w:t>harm … </w:t>
      </w:r>
      <w:r w:rsidR="00105922">
        <w:rPr>
          <w:rStyle w:val="Strong"/>
          <w:b w:val="0"/>
          <w:bCs w:val="0"/>
        </w:rPr>
        <w:t>.’</w:t>
      </w:r>
      <w:r w:rsidR="00105922" w:rsidRPr="00EB2274">
        <w:rPr>
          <w:rStyle w:val="FootnoteReference"/>
        </w:rPr>
        <w:footnoteReference w:id="12"/>
      </w:r>
      <w:r w:rsidR="00105922">
        <w:rPr>
          <w:rStyle w:val="Strong"/>
          <w:b w:val="0"/>
          <w:bCs w:val="0"/>
        </w:rPr>
        <w:t xml:space="preserve"> </w:t>
      </w:r>
      <w:r w:rsidR="00B6038C">
        <w:rPr>
          <w:rStyle w:val="Strong"/>
          <w:b w:val="0"/>
          <w:bCs w:val="0"/>
        </w:rPr>
        <w:t>Further work will be necessary to align mental health legislation with the CRPD’s focus on supported decision-making, legal capacity and non-discrimination.</w:t>
      </w:r>
    </w:p>
    <w:p w14:paraId="1B262B24" w14:textId="29AC462E" w:rsidR="00105922" w:rsidRDefault="009A2DDC" w:rsidP="00105922">
      <w:pPr>
        <w:rPr>
          <w:rStyle w:val="Strong"/>
          <w:b w:val="0"/>
          <w:bCs w:val="0"/>
        </w:rPr>
      </w:pPr>
      <w:r>
        <w:rPr>
          <w:rStyle w:val="Strong"/>
          <w:b w:val="0"/>
          <w:bCs w:val="0"/>
        </w:rPr>
        <w:t>The opportunity to e</w:t>
      </w:r>
      <w:r w:rsidR="00105922">
        <w:rPr>
          <w:rStyle w:val="Strong"/>
          <w:b w:val="0"/>
          <w:bCs w:val="0"/>
        </w:rPr>
        <w:t>mbed a human rights-based approach in the new mental health and wellbeing system is significant. It positions people as rights-bearers rather than as objects of charity, medical intervention and social protection. The importance of such a shift was highlighted by Kate Eastman AM SC, Counsel Assisting the Royal Commission into Violence, Abuse, Neglect and Exploitation of People with Disability, who observed that:</w:t>
      </w:r>
    </w:p>
    <w:p w14:paraId="2251D2E8" w14:textId="77777777" w:rsidR="00105922" w:rsidRDefault="00105922" w:rsidP="00105922">
      <w:pPr>
        <w:pStyle w:val="Blockquote"/>
        <w:rPr>
          <w:rStyle w:val="Strong"/>
          <w:b w:val="0"/>
          <w:bCs w:val="0"/>
        </w:rPr>
      </w:pPr>
      <w:r>
        <w:rPr>
          <w:rStyle w:val="Strong"/>
          <w:b w:val="0"/>
          <w:bCs w:val="0"/>
        </w:rPr>
        <w:t>A rights-based framework provides a mechanism for re-analysing and renaming problems – as rights violations – and as such something that should not be tolerated and should be addressed.</w:t>
      </w:r>
    </w:p>
    <w:p w14:paraId="3814C50E" w14:textId="3274B74A" w:rsidR="00105922" w:rsidRDefault="00105922" w:rsidP="00105922">
      <w:pPr>
        <w:pStyle w:val="Blockquote"/>
      </w:pPr>
      <w:r>
        <w:t>Implementing a rights-based approach ensures that there is a focus on respecting the rights of people with disability but, most importantly, accountability on the duty bearers.</w:t>
      </w:r>
      <w:r w:rsidRPr="00EB2274">
        <w:rPr>
          <w:rStyle w:val="FootnoteReference"/>
        </w:rPr>
        <w:footnoteReference w:id="13"/>
      </w:r>
    </w:p>
    <w:p w14:paraId="42A8722A" w14:textId="5756B95F" w:rsidR="0092330C" w:rsidRPr="0092330C" w:rsidRDefault="00E17995" w:rsidP="00B10411">
      <w:r>
        <w:t xml:space="preserve">Ultimately, progress towards a human rights-based mental health </w:t>
      </w:r>
      <w:r w:rsidR="00271166">
        <w:t xml:space="preserve">and wellbeing </w:t>
      </w:r>
      <w:r>
        <w:t>system will require daily commitments from all</w:t>
      </w:r>
      <w:r w:rsidR="0044387C">
        <w:t xml:space="preserve"> stakeholders, including </w:t>
      </w:r>
      <w:r w:rsidR="00271166">
        <w:t>d</w:t>
      </w:r>
      <w:r w:rsidR="0044387C">
        <w:t xml:space="preserve">epartmental staff </w:t>
      </w:r>
      <w:r w:rsidR="0099014E">
        <w:t>at all levels</w:t>
      </w:r>
      <w:r w:rsidR="0044387C">
        <w:t xml:space="preserve">. The Charter provides </w:t>
      </w:r>
      <w:r w:rsidR="00273291">
        <w:t xml:space="preserve">legal </w:t>
      </w:r>
      <w:r w:rsidR="0044387C">
        <w:t xml:space="preserve">duties as well as a </w:t>
      </w:r>
      <w:r w:rsidR="003E5221">
        <w:t>framework to express</w:t>
      </w:r>
      <w:r w:rsidR="00DD7546">
        <w:t xml:space="preserve"> and demonstrate</w:t>
      </w:r>
      <w:r w:rsidR="003E5221">
        <w:t xml:space="preserve"> this commitment. </w:t>
      </w:r>
    </w:p>
    <w:p w14:paraId="42C6FED7" w14:textId="1124FCCF" w:rsidR="00EA6005" w:rsidRPr="00F42D20" w:rsidRDefault="00F2455F" w:rsidP="00F42D20">
      <w:pPr>
        <w:pStyle w:val="Heading3-report"/>
        <w:rPr>
          <w:rStyle w:val="Strong"/>
          <w:b/>
        </w:rPr>
      </w:pPr>
      <w:r w:rsidRPr="00BD6F35">
        <w:rPr>
          <w:rStyle w:val="Strong"/>
          <w:b/>
          <w:bCs/>
        </w:rPr>
        <w:t>Human rights help</w:t>
      </w:r>
      <w:r>
        <w:rPr>
          <w:rStyle w:val="Strong"/>
          <w:b/>
          <w:bCs/>
        </w:rPr>
        <w:t xml:space="preserve"> </w:t>
      </w:r>
      <w:r w:rsidR="00A67FF8">
        <w:rPr>
          <w:rStyle w:val="Strong"/>
          <w:b/>
          <w:bCs/>
        </w:rPr>
        <w:t xml:space="preserve">to </w:t>
      </w:r>
      <w:r w:rsidR="00B66034">
        <w:rPr>
          <w:rStyle w:val="Strong"/>
          <w:b/>
          <w:bCs/>
        </w:rPr>
        <w:t>drive</w:t>
      </w:r>
      <w:r>
        <w:rPr>
          <w:rStyle w:val="Strong"/>
          <w:b/>
          <w:bCs/>
        </w:rPr>
        <w:t xml:space="preserve"> better outcomes</w:t>
      </w:r>
    </w:p>
    <w:p w14:paraId="4ADF7AFF" w14:textId="792E5098" w:rsidR="000463F8" w:rsidRDefault="005E4368" w:rsidP="00EA6005">
      <w:r>
        <w:t xml:space="preserve">As well as being a legal requirement, </w:t>
      </w:r>
      <w:r w:rsidR="00065559">
        <w:t xml:space="preserve">taking a human rights approach </w:t>
      </w:r>
      <w:r w:rsidR="004D328F">
        <w:t>can</w:t>
      </w:r>
      <w:r w:rsidR="00657A3B">
        <w:t>:</w:t>
      </w:r>
      <w:r w:rsidR="00B17858">
        <w:t xml:space="preserve"> (1) </w:t>
      </w:r>
      <w:r w:rsidR="00065559">
        <w:t xml:space="preserve">help </w:t>
      </w:r>
      <w:r w:rsidR="002F7C2E">
        <w:t xml:space="preserve">to </w:t>
      </w:r>
      <w:r w:rsidR="00065559">
        <w:t xml:space="preserve">drive better outcomes for people who use the </w:t>
      </w:r>
      <w:r w:rsidR="002F7C2E">
        <w:t xml:space="preserve">mental health and wellbeing </w:t>
      </w:r>
      <w:r w:rsidR="00065559">
        <w:t>system</w:t>
      </w:r>
      <w:r w:rsidR="00657A3B">
        <w:t>,</w:t>
      </w:r>
      <w:r w:rsidR="00065559">
        <w:t xml:space="preserve"> and </w:t>
      </w:r>
      <w:r w:rsidR="00B17858">
        <w:t xml:space="preserve">(2) </w:t>
      </w:r>
      <w:r w:rsidR="00065559">
        <w:t xml:space="preserve">support the division </w:t>
      </w:r>
      <w:r w:rsidR="002F7C2E">
        <w:t>to</w:t>
      </w:r>
      <w:r w:rsidR="00065559">
        <w:t xml:space="preserve"> navigat</w:t>
      </w:r>
      <w:r w:rsidR="002F7C2E">
        <w:t>e</w:t>
      </w:r>
      <w:r w:rsidR="00065559">
        <w:t xml:space="preserve"> complex work under the intensive scrutiny that comes with large</w:t>
      </w:r>
      <w:r w:rsidR="006A737B">
        <w:t>-scale</w:t>
      </w:r>
      <w:r w:rsidR="00065559">
        <w:t xml:space="preserve"> reform.</w:t>
      </w:r>
      <w:r w:rsidR="00127C89">
        <w:t xml:space="preserve"> </w:t>
      </w:r>
    </w:p>
    <w:p w14:paraId="15A30B7A" w14:textId="77777777" w:rsidR="00E96C6C" w:rsidRDefault="00E96C6C" w:rsidP="00EA6005">
      <w:pPr>
        <w:sectPr w:rsidR="00E96C6C" w:rsidSect="00E8303A">
          <w:pgSz w:w="11906" w:h="16838"/>
          <w:pgMar w:top="1701" w:right="1418" w:bottom="1440" w:left="1418" w:header="709" w:footer="709" w:gutter="0"/>
          <w:pgNumType w:start="0"/>
          <w:cols w:space="708"/>
          <w:titlePg/>
          <w:docGrid w:linePitch="360"/>
        </w:sectPr>
      </w:pPr>
    </w:p>
    <w:p w14:paraId="2AFC0BA8" w14:textId="33902DE6" w:rsidR="00411ED4" w:rsidRDefault="00411ED4">
      <w:r>
        <w:rPr>
          <w:noProof/>
        </w:rPr>
        <w:lastRenderedPageBreak/>
        <w:drawing>
          <wp:anchor distT="0" distB="0" distL="114300" distR="114300" simplePos="0" relativeHeight="251658263" behindDoc="0" locked="0" layoutInCell="1" allowOverlap="1" wp14:anchorId="481B4FAD" wp14:editId="4F2B0C5E">
            <wp:simplePos x="0" y="0"/>
            <wp:positionH relativeFrom="page">
              <wp:align>right</wp:align>
            </wp:positionH>
            <wp:positionV relativeFrom="paragraph">
              <wp:posOffset>-897255</wp:posOffset>
            </wp:positionV>
            <wp:extent cx="10682257" cy="7552356"/>
            <wp:effectExtent l="0" t="0" r="5080" b="0"/>
            <wp:wrapNone/>
            <wp:docPr id="629162617" name="Picture 629162617" descr="How human can rights help&#10;&#10;Taking a human rights-based approach to your work will help you connect to why you do your role, assist you to do it even better, and ultimately foster a better mental health and wellbeing system.&#10;&#10;Prioritise the marginalised...by ensuring that policies meet the needs of those traditionally forgotten and discriminated against.&#10;&#10;Focus on policy outcomes&#10;...by ensuring that the community and human being impacted by policy decisions is at the centre of your mind.&#10;&#10;Fulfill the vision (of the Royal Commission)&#10;&#10;Manage risks...by ensuring your department will achieve its goals, avoid credibility loss and address legal liability risks.&#10;&#10;Support engagement...(with stakeholders and oversight bodies) by reaffirming shared human rights responsibilities..&#10;&#10;Guide decision making...by providing a framework that helps you weigh up complex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62617" name="Picture 629162617" descr="How human can rights help&#10;&#10;Taking a human rights-based approach to your work will help you connect to why you do your role, assist you to do it even better, and ultimately foster a better mental health and wellbeing system.&#10;&#10;Prioritise the marginalised...by ensuring that policies meet the needs of those traditionally forgotten and discriminated against.&#10;&#10;Focus on policy outcomes&#10;...by ensuring that the community and human being impacted by policy decisions is at the centre of your mind.&#10;&#10;Fulfill the vision (of the Royal Commission)&#10;&#10;Manage risks...by ensuring your department will achieve its goals, avoid credibility loss and address legal liability risks.&#10;&#10;Support engagement...(with stakeholders and oversight bodies) by reaffirming shared human rights responsibilities..&#10;&#10;Guide decision making...by providing a framework that helps you weigh up complex issue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682257" cy="755235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5B8E80" w14:textId="4460E225" w:rsidR="00411ED4" w:rsidRDefault="00FD0868">
      <w:r>
        <w:rPr>
          <w:noProof/>
        </w:rPr>
        <w:lastRenderedPageBreak/>
        <w:drawing>
          <wp:anchor distT="0" distB="0" distL="114300" distR="114300" simplePos="0" relativeHeight="251658264" behindDoc="0" locked="0" layoutInCell="1" allowOverlap="1" wp14:anchorId="11E283CD" wp14:editId="20F0D5AB">
            <wp:simplePos x="0" y="0"/>
            <wp:positionH relativeFrom="page">
              <wp:align>right</wp:align>
            </wp:positionH>
            <wp:positionV relativeFrom="paragraph">
              <wp:posOffset>-900953</wp:posOffset>
            </wp:positionV>
            <wp:extent cx="10690412" cy="7558121"/>
            <wp:effectExtent l="0" t="0" r="0" b="5080"/>
            <wp:wrapNone/>
            <wp:docPr id="173918815" name="Picture 173918815" descr="Human Rights Oversight Bodies&#10;&#10;Public sector oversight bodies must consider relevant human rights when making decisions. They may also monitor whether the Mental Health and Wellbeing Division has complied with the Charter. In addition to Victorian Courts and Tribunals, the following agencies have important human rights roles.&#10;&#10;Victorian Ombudsman&#10;The Victorian Ombudsman has a statutory function to enquire into or investigate human rights issues.&#10;&#10;Mental  Health and Wellbeing Commission&#10;The Commission will have an oversight role for government performance and for ensuring mental health services comply with their Charter and mental health law duties.&#10;&#10;Victorian Auditor-General's Office&#10;The Auditor-General examines whether agencies or programs are achieving their objectives and/or in compliance with relevant legislation, including the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8815" name="Picture 173918815" descr="Human Rights Oversight Bodies&#10;&#10;Public sector oversight bodies must consider relevant human rights when making decisions. They may also monitor whether the Mental Health and Wellbeing Division has complied with the Charter. In addition to Victorian Courts and Tribunals, the following agencies have important human rights roles.&#10;&#10;Victorian Ombudsman&#10;The Victorian Ombudsman has a statutory function to enquire into or investigate human rights issues.&#10;&#10;Mental  Health and Wellbeing Commission&#10;The Commission will have an oversight role for government performance and for ensuring mental health services comply with their Charter and mental health law duties.&#10;&#10;Victorian Auditor-General's Office&#10;The Auditor-General examines whether agencies or programs are achieving their objectives and/or in compliance with relevant legislation, including the Charte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690412" cy="7558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ED4">
        <w:br w:type="page"/>
      </w:r>
    </w:p>
    <w:p w14:paraId="0FB2C729" w14:textId="75664542" w:rsidR="00E96C6C" w:rsidRDefault="00E96C6C" w:rsidP="00EA6005">
      <w:pPr>
        <w:sectPr w:rsidR="00E96C6C" w:rsidSect="00E96C6C">
          <w:pgSz w:w="16838" w:h="11906" w:orient="landscape"/>
          <w:pgMar w:top="1418" w:right="1701" w:bottom="1418" w:left="1440" w:header="709" w:footer="709" w:gutter="0"/>
          <w:pgNumType w:start="0"/>
          <w:cols w:space="708"/>
          <w:titlePg/>
          <w:docGrid w:linePitch="360"/>
        </w:sectPr>
      </w:pPr>
    </w:p>
    <w:p w14:paraId="247D7E3C" w14:textId="30D8C3BB" w:rsidR="00092F77" w:rsidRDefault="005B2BC8" w:rsidP="00092F77">
      <w:pPr>
        <w:pStyle w:val="Heading1-report"/>
      </w:pPr>
      <w:r>
        <w:lastRenderedPageBreak/>
        <w:t>2</w:t>
      </w:r>
      <w:r w:rsidR="00092F77">
        <w:t>. How to make decisions using human rights</w:t>
      </w:r>
    </w:p>
    <w:p w14:paraId="7D6090F8" w14:textId="50ECF207" w:rsidR="00092F77" w:rsidRPr="004123E2" w:rsidRDefault="00092F77" w:rsidP="00092F77">
      <w:pPr>
        <w:rPr>
          <w:b/>
          <w:bCs/>
          <w:color w:val="201547"/>
          <w:sz w:val="26"/>
          <w:szCs w:val="26"/>
        </w:rPr>
      </w:pPr>
      <w:r w:rsidRPr="004123E2">
        <w:rPr>
          <w:b/>
          <w:bCs/>
          <w:color w:val="201547"/>
          <w:sz w:val="26"/>
          <w:szCs w:val="26"/>
        </w:rPr>
        <w:t xml:space="preserve">Embedding human rights in your day-to-day policy development and </w:t>
      </w:r>
      <w:r w:rsidR="00180D97">
        <w:rPr>
          <w:b/>
          <w:bCs/>
          <w:color w:val="201547"/>
          <w:sz w:val="26"/>
          <w:szCs w:val="26"/>
        </w:rPr>
        <w:t>practice</w:t>
      </w:r>
      <w:r w:rsidRPr="004123E2">
        <w:rPr>
          <w:b/>
          <w:bCs/>
          <w:color w:val="201547"/>
          <w:sz w:val="26"/>
          <w:szCs w:val="26"/>
        </w:rPr>
        <w:t xml:space="preserve"> </w:t>
      </w:r>
      <w:r w:rsidR="003D39A3">
        <w:rPr>
          <w:b/>
          <w:bCs/>
          <w:color w:val="201547"/>
          <w:sz w:val="26"/>
          <w:szCs w:val="26"/>
        </w:rPr>
        <w:t>does not need to</w:t>
      </w:r>
      <w:r w:rsidRPr="004123E2">
        <w:rPr>
          <w:b/>
          <w:bCs/>
          <w:color w:val="201547"/>
          <w:sz w:val="26"/>
          <w:szCs w:val="26"/>
        </w:rPr>
        <w:t xml:space="preserve"> be complicated. When the Charter was introduced to Parliament, the Attorney-General saw it as a tool and reference point to improve policy and practice.</w:t>
      </w:r>
      <w:r w:rsidRPr="00EB2274">
        <w:rPr>
          <w:rStyle w:val="FootnoteReference"/>
        </w:rPr>
        <w:footnoteReference w:id="14"/>
      </w:r>
      <w:r w:rsidRPr="004123E2">
        <w:rPr>
          <w:b/>
          <w:bCs/>
          <w:color w:val="201547"/>
          <w:sz w:val="26"/>
          <w:szCs w:val="26"/>
        </w:rPr>
        <w:t xml:space="preserve"> As we show in the case studies below, the Charter already has, and could, improve </w:t>
      </w:r>
      <w:r>
        <w:rPr>
          <w:b/>
          <w:bCs/>
          <w:color w:val="201547"/>
          <w:sz w:val="26"/>
          <w:szCs w:val="26"/>
        </w:rPr>
        <w:t>how governments and systems work</w:t>
      </w:r>
      <w:r w:rsidRPr="004123E2">
        <w:rPr>
          <w:b/>
          <w:bCs/>
          <w:color w:val="201547"/>
          <w:sz w:val="26"/>
          <w:szCs w:val="26"/>
        </w:rPr>
        <w:t>.</w:t>
      </w:r>
    </w:p>
    <w:p w14:paraId="7CA67DBD" w14:textId="77777777" w:rsidR="00092F77" w:rsidRDefault="00092F77" w:rsidP="00092F77">
      <w:pPr>
        <w:rPr>
          <w:rStyle w:val="Strong"/>
          <w:b w:val="0"/>
          <w:bCs w:val="0"/>
        </w:rPr>
        <w:sectPr w:rsidR="00092F77" w:rsidSect="00E8303A">
          <w:pgSz w:w="11906" w:h="16838"/>
          <w:pgMar w:top="1701" w:right="1418" w:bottom="1440" w:left="1418" w:header="709" w:footer="709" w:gutter="0"/>
          <w:pgNumType w:start="0"/>
          <w:cols w:space="708"/>
          <w:titlePg/>
          <w:docGrid w:linePitch="360"/>
        </w:sectPr>
      </w:pPr>
    </w:p>
    <w:p w14:paraId="1A32C169" w14:textId="6C20141B" w:rsidR="00092F77" w:rsidRDefault="00092F77" w:rsidP="00092F77">
      <w:r>
        <w:t xml:space="preserve">As a public servant, your main Charter obligation is detailed </w:t>
      </w:r>
      <w:r w:rsidR="003767C0">
        <w:t xml:space="preserve">in </w:t>
      </w:r>
      <w:r>
        <w:t>section 38(1). It states:</w:t>
      </w:r>
    </w:p>
    <w:p w14:paraId="28329577" w14:textId="5A23C44A" w:rsidR="00092F77" w:rsidRDefault="00092F77" w:rsidP="00B161AE">
      <w:pPr>
        <w:pStyle w:val="Blockquote"/>
      </w:pPr>
      <w:r>
        <w:t>it is unlawful for a public authority to act in a way that is incompatible with a human right or, in making a decision, to fail to give proper consideration to a relevant human right.</w:t>
      </w:r>
    </w:p>
    <w:p w14:paraId="7E778323" w14:textId="77777777" w:rsidR="00BD7B03" w:rsidRDefault="00092F77" w:rsidP="00092F77">
      <w:r>
        <w:t xml:space="preserve">This </w:t>
      </w:r>
      <w:r w:rsidR="007E4A78">
        <w:t xml:space="preserve">sub-section of the Charter </w:t>
      </w:r>
      <w:r>
        <w:t xml:space="preserve">represents a test on whether you have acted lawfully or unlawfully. </w:t>
      </w:r>
    </w:p>
    <w:p w14:paraId="379CB22D" w14:textId="4BF2E2E4" w:rsidR="00092F77" w:rsidRDefault="00092F77" w:rsidP="00092F77">
      <w:r>
        <w:t xml:space="preserve">The public authority obligation has two duties or </w:t>
      </w:r>
      <w:r w:rsidR="00BD7B03">
        <w:t>‘</w:t>
      </w:r>
      <w:r>
        <w:t>limbs</w:t>
      </w:r>
      <w:r w:rsidR="00BD7B03">
        <w:t>’</w:t>
      </w:r>
      <w:r>
        <w:t xml:space="preserve">, or parts. You need to follow both. The first limb requires you to comply with human rights </w:t>
      </w:r>
      <w:r w:rsidR="007B7C64">
        <w:t>when you act</w:t>
      </w:r>
      <w:r w:rsidR="00600E43">
        <w:t xml:space="preserve"> </w:t>
      </w:r>
      <w:r>
        <w:t>or fail</w:t>
      </w:r>
      <w:r w:rsidR="00600E43">
        <w:t xml:space="preserve"> </w:t>
      </w:r>
      <w:r>
        <w:t xml:space="preserve">to </w:t>
      </w:r>
      <w:r w:rsidR="007B7C64">
        <w:t xml:space="preserve">act </w:t>
      </w:r>
      <w:r>
        <w:t xml:space="preserve">(sometimes called the ‘substantive limb’). The second limb is to </w:t>
      </w:r>
      <w:r w:rsidR="00D71BC3">
        <w:t>‘</w:t>
      </w:r>
      <w:r>
        <w:t>give proper consideration</w:t>
      </w:r>
      <w:r w:rsidR="00D71BC3">
        <w:t>’</w:t>
      </w:r>
      <w:r>
        <w:t xml:space="preserve"> to relevant human rights </w:t>
      </w:r>
      <w:r w:rsidR="00600E43">
        <w:t xml:space="preserve">when making a decision </w:t>
      </w:r>
      <w:r>
        <w:t xml:space="preserve">(sometimes called the ‘procedural limb’). </w:t>
      </w:r>
    </w:p>
    <w:p w14:paraId="116C27D1" w14:textId="3D0C57AF" w:rsidR="00092F77" w:rsidRPr="00FC314D" w:rsidRDefault="00092F77" w:rsidP="00092F77">
      <w:pPr>
        <w:rPr>
          <w:b/>
          <w:bCs/>
        </w:rPr>
      </w:pPr>
      <w:r>
        <w:rPr>
          <w:rStyle w:val="Strong"/>
          <w:b w:val="0"/>
          <w:bCs w:val="0"/>
        </w:rPr>
        <w:t>This obligation is</w:t>
      </w:r>
      <w:r w:rsidRPr="00FC314D">
        <w:rPr>
          <w:rStyle w:val="Strong"/>
          <w:b w:val="0"/>
          <w:bCs w:val="0"/>
        </w:rPr>
        <w:t xml:space="preserve"> further embedded in the Public </w:t>
      </w:r>
      <w:r w:rsidRPr="00B161AE">
        <w:rPr>
          <w:rStyle w:val="Strong"/>
          <w:b w:val="0"/>
          <w:bCs w:val="0"/>
          <w:i/>
          <w:iCs/>
        </w:rPr>
        <w:t>Administration Act 2004</w:t>
      </w:r>
      <w:r w:rsidRPr="00FC314D">
        <w:rPr>
          <w:rStyle w:val="Strong"/>
          <w:b w:val="0"/>
          <w:bCs w:val="0"/>
        </w:rPr>
        <w:t xml:space="preserve"> (Vic)</w:t>
      </w:r>
      <w:r w:rsidRPr="00EB2274">
        <w:rPr>
          <w:rStyle w:val="FootnoteReference"/>
        </w:rPr>
        <w:footnoteReference w:id="15"/>
      </w:r>
      <w:r w:rsidRPr="006922AB">
        <w:rPr>
          <w:rStyle w:val="Strong"/>
          <w:bCs w:val="0"/>
        </w:rPr>
        <w:t xml:space="preserve"> </w:t>
      </w:r>
      <w:r w:rsidRPr="00FC314D">
        <w:rPr>
          <w:rStyle w:val="Strong"/>
          <w:b w:val="0"/>
          <w:bCs w:val="0"/>
        </w:rPr>
        <w:t>and Victorian Public Sector Code of Conduct</w:t>
      </w:r>
      <w:r>
        <w:rPr>
          <w:rStyle w:val="Strong"/>
          <w:b w:val="0"/>
          <w:bCs w:val="0"/>
        </w:rPr>
        <w:t>.</w:t>
      </w:r>
      <w:r w:rsidRPr="00EB2274">
        <w:rPr>
          <w:rStyle w:val="FootnoteReference"/>
        </w:rPr>
        <w:footnoteReference w:id="16"/>
      </w:r>
      <w:r>
        <w:rPr>
          <w:rStyle w:val="Strong"/>
          <w:b w:val="0"/>
          <w:bCs w:val="0"/>
        </w:rPr>
        <w:t xml:space="preserve"> Both </w:t>
      </w:r>
      <w:r w:rsidR="0022314A">
        <w:rPr>
          <w:rStyle w:val="Strong"/>
          <w:b w:val="0"/>
          <w:bCs w:val="0"/>
        </w:rPr>
        <w:t>instruments</w:t>
      </w:r>
      <w:r w:rsidRPr="00FC314D">
        <w:rPr>
          <w:rStyle w:val="Strong"/>
          <w:b w:val="0"/>
          <w:bCs w:val="0"/>
        </w:rPr>
        <w:t xml:space="preserve"> require public officials to respect and promote human rights. </w:t>
      </w:r>
      <w:r>
        <w:rPr>
          <w:rStyle w:val="Strong"/>
          <w:b w:val="0"/>
          <w:bCs w:val="0"/>
        </w:rPr>
        <w:t>This is again reflected in mental health legislation. T</w:t>
      </w:r>
      <w:r w:rsidRPr="00FC314D">
        <w:rPr>
          <w:rStyle w:val="Strong"/>
          <w:b w:val="0"/>
          <w:bCs w:val="0"/>
        </w:rPr>
        <w:t xml:space="preserve">he </w:t>
      </w:r>
      <w:r w:rsidRPr="004532F2">
        <w:rPr>
          <w:rStyle w:val="Strong"/>
          <w:b w:val="0"/>
          <w:bCs w:val="0"/>
        </w:rPr>
        <w:t>Mental Health and Wellbeing Act gives</w:t>
      </w:r>
      <w:r w:rsidRPr="00FC314D">
        <w:rPr>
          <w:rStyle w:val="Strong"/>
          <w:b w:val="0"/>
          <w:bCs w:val="0"/>
        </w:rPr>
        <w:t xml:space="preserve"> the Secretary </w:t>
      </w:r>
      <w:r w:rsidR="00322747">
        <w:rPr>
          <w:rStyle w:val="Strong"/>
          <w:b w:val="0"/>
          <w:bCs w:val="0"/>
        </w:rPr>
        <w:t xml:space="preserve">of the Department of Health </w:t>
      </w:r>
      <w:r w:rsidRPr="00FC314D">
        <w:rPr>
          <w:rStyle w:val="Strong"/>
          <w:b w:val="0"/>
          <w:bCs w:val="0"/>
        </w:rPr>
        <w:t>and the Chief Officer for Mental Health and Wellbeing a function under the Act ‘to promote human rights compliance by mental health and wellbeing service providers’.</w:t>
      </w:r>
      <w:r w:rsidR="00267FB4" w:rsidRPr="00EB2274">
        <w:rPr>
          <w:rStyle w:val="FootnoteReference"/>
        </w:rPr>
        <w:footnoteReference w:id="17"/>
      </w:r>
      <w:r w:rsidRPr="00FC314D">
        <w:rPr>
          <w:rStyle w:val="Strong"/>
          <w:b w:val="0"/>
          <w:bCs w:val="0"/>
        </w:rPr>
        <w:t xml:space="preserve"> </w:t>
      </w:r>
      <w:r>
        <w:rPr>
          <w:rStyle w:val="Strong"/>
          <w:b w:val="0"/>
          <w:bCs w:val="0"/>
        </w:rPr>
        <w:t xml:space="preserve">If </w:t>
      </w:r>
      <w:r w:rsidR="00EA4F79">
        <w:rPr>
          <w:rStyle w:val="Strong"/>
          <w:b w:val="0"/>
          <w:bCs w:val="0"/>
        </w:rPr>
        <w:t xml:space="preserve">you </w:t>
      </w:r>
      <w:r>
        <w:rPr>
          <w:rStyle w:val="Strong"/>
          <w:b w:val="0"/>
          <w:bCs w:val="0"/>
        </w:rPr>
        <w:t xml:space="preserve">follow the </w:t>
      </w:r>
      <w:r w:rsidR="00EA4F79">
        <w:rPr>
          <w:rStyle w:val="Strong"/>
          <w:b w:val="0"/>
          <w:bCs w:val="0"/>
        </w:rPr>
        <w:t xml:space="preserve">Charter </w:t>
      </w:r>
      <w:r>
        <w:rPr>
          <w:rStyle w:val="Strong"/>
          <w:b w:val="0"/>
          <w:bCs w:val="0"/>
        </w:rPr>
        <w:t xml:space="preserve">public authority obligation above, </w:t>
      </w:r>
      <w:r w:rsidR="00C64463">
        <w:rPr>
          <w:rStyle w:val="Strong"/>
          <w:b w:val="0"/>
          <w:bCs w:val="0"/>
        </w:rPr>
        <w:t>i</w:t>
      </w:r>
      <w:r w:rsidR="00EA4F79">
        <w:rPr>
          <w:rStyle w:val="Strong"/>
          <w:b w:val="0"/>
          <w:bCs w:val="0"/>
        </w:rPr>
        <w:t>t</w:t>
      </w:r>
      <w:r w:rsidR="00C64463">
        <w:rPr>
          <w:rStyle w:val="Strong"/>
          <w:b w:val="0"/>
          <w:bCs w:val="0"/>
        </w:rPr>
        <w:t xml:space="preserve"> will help you to meet</w:t>
      </w:r>
      <w:r>
        <w:rPr>
          <w:rStyle w:val="Strong"/>
          <w:b w:val="0"/>
          <w:bCs w:val="0"/>
        </w:rPr>
        <w:t xml:space="preserve"> </w:t>
      </w:r>
      <w:r w:rsidR="00B3015E">
        <w:rPr>
          <w:rStyle w:val="Strong"/>
          <w:b w:val="0"/>
          <w:bCs w:val="0"/>
        </w:rPr>
        <w:t xml:space="preserve">your </w:t>
      </w:r>
      <w:r>
        <w:rPr>
          <w:rStyle w:val="Strong"/>
          <w:b w:val="0"/>
          <w:bCs w:val="0"/>
        </w:rPr>
        <w:t>other obligations.</w:t>
      </w:r>
    </w:p>
    <w:p w14:paraId="21B05B0D" w14:textId="3512505F" w:rsidR="00092F77" w:rsidRPr="0066315C" w:rsidRDefault="00092F77" w:rsidP="003F08FD">
      <w:pPr>
        <w:rPr>
          <w:sz w:val="36"/>
          <w:szCs w:val="32"/>
        </w:rPr>
      </w:pPr>
      <w:r>
        <w:t xml:space="preserve">This guide aims to simplify these steps and tailor them to a mental health reform context. That tailoring results in </w:t>
      </w:r>
      <w:r w:rsidRPr="00E172A0">
        <w:rPr>
          <w:b/>
          <w:bCs/>
        </w:rPr>
        <w:t>three steps</w:t>
      </w:r>
      <w:r>
        <w:t xml:space="preserve"> that you, as public servants, should take to create the best human rights outcomes. The first step is to </w:t>
      </w:r>
      <w:r w:rsidRPr="006A4245">
        <w:rPr>
          <w:b/>
          <w:bCs/>
          <w:i/>
          <w:iCs/>
        </w:rPr>
        <w:t>forecast</w:t>
      </w:r>
      <w:r w:rsidRPr="006A4245">
        <w:rPr>
          <w:b/>
          <w:bCs/>
        </w:rPr>
        <w:t xml:space="preserve"> </w:t>
      </w:r>
      <w:r>
        <w:t>the end result of your present decisions (or non-decisions) for people in the community and in particular those using or working in the mental health and wellbeing system. The second step is to</w:t>
      </w:r>
      <w:r w:rsidRPr="006A4245">
        <w:rPr>
          <w:b/>
          <w:bCs/>
        </w:rPr>
        <w:t xml:space="preserve"> </w:t>
      </w:r>
      <w:r>
        <w:rPr>
          <w:b/>
          <w:bCs/>
          <w:i/>
          <w:iCs/>
        </w:rPr>
        <w:t>assess</w:t>
      </w:r>
      <w:r>
        <w:t xml:space="preserve"> for human rights impacts within those end results; examining whether some rights are being limited. The third step is to </w:t>
      </w:r>
      <w:r w:rsidRPr="006A4245">
        <w:rPr>
          <w:b/>
          <w:bCs/>
          <w:i/>
          <w:iCs/>
        </w:rPr>
        <w:t>decide</w:t>
      </w:r>
      <w:r>
        <w:rPr>
          <w:i/>
          <w:iCs/>
        </w:rPr>
        <w:t xml:space="preserve"> </w:t>
      </w:r>
      <w:r>
        <w:t xml:space="preserve">on your action </w:t>
      </w:r>
      <w:r w:rsidR="009A67E4">
        <w:t xml:space="preserve">ensuring that it </w:t>
      </w:r>
      <w:r>
        <w:t>complies</w:t>
      </w:r>
      <w:r w:rsidR="00A61264">
        <w:t xml:space="preserve"> with the Charter</w:t>
      </w:r>
      <w:r>
        <w:t xml:space="preserve">, </w:t>
      </w:r>
      <w:r w:rsidR="00A61264">
        <w:t xml:space="preserve">and </w:t>
      </w:r>
      <w:r>
        <w:t>balances and promotes human rights. Sometimes rights need to be limited to protect other rights. Your duty is to ensure any limitations are justified by balancing them against other rights and interests, as well as the opportunities to further promote human rights.</w:t>
      </w:r>
    </w:p>
    <w:p w14:paraId="1D1CB488" w14:textId="0AB4EE24" w:rsidR="0066315C" w:rsidRDefault="002377AD" w:rsidP="00DC4B9F">
      <w:pPr>
        <w:pStyle w:val="Casestudytitle"/>
        <w:ind w:left="0"/>
        <w:rPr>
          <w:color w:val="FFFFFF" w:themeColor="background1"/>
          <w:sz w:val="72"/>
          <w:szCs w:val="72"/>
        </w:rPr>
      </w:pPr>
      <w:r w:rsidRPr="0066315C">
        <w:rPr>
          <w:noProof/>
          <w:sz w:val="72"/>
          <w:szCs w:val="72"/>
        </w:rPr>
        <w:lastRenderedPageBreak/>
        <mc:AlternateContent>
          <mc:Choice Requires="wps">
            <w:drawing>
              <wp:anchor distT="0" distB="0" distL="114300" distR="114300" simplePos="0" relativeHeight="251658249" behindDoc="1" locked="0" layoutInCell="1" allowOverlap="1" wp14:anchorId="4BB0C8F2" wp14:editId="3E1B2AE6">
                <wp:simplePos x="0" y="0"/>
                <wp:positionH relativeFrom="page">
                  <wp:posOffset>-174171</wp:posOffset>
                </wp:positionH>
                <wp:positionV relativeFrom="paragraph">
                  <wp:posOffset>-1080135</wp:posOffset>
                </wp:positionV>
                <wp:extent cx="7732848" cy="10664190"/>
                <wp:effectExtent l="0" t="0" r="1905" b="3810"/>
                <wp:wrapNone/>
                <wp:docPr id="5" name="Rectangle 5"/>
                <wp:cNvGraphicFramePr/>
                <a:graphic xmlns:a="http://schemas.openxmlformats.org/drawingml/2006/main">
                  <a:graphicData uri="http://schemas.microsoft.com/office/word/2010/wordprocessingShape">
                    <wps:wsp>
                      <wps:cNvSpPr/>
                      <wps:spPr>
                        <a:xfrm>
                          <a:off x="0" y="0"/>
                          <a:ext cx="7732848" cy="1066419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3CFF3C9" id="Rectangle 5" o:spid="_x0000_s1026" style="position:absolute;margin-left:-13.7pt;margin-top:-85.05pt;width:608.9pt;height:839.7pt;z-index:-25165823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" fillcolor="#201547" stroked="f" strokeweight="1pt">
                <w10:wrap anchorx="page"/>
              </v:rect>
            </w:pict>
          </mc:Fallback>
        </mc:AlternateContent>
      </w:r>
      <w:r w:rsidR="00DC4B9F">
        <w:rPr>
          <w:noProof/>
          <w:sz w:val="72"/>
          <w:szCs w:val="72"/>
        </w:rPr>
        <w:drawing>
          <wp:anchor distT="0" distB="0" distL="114300" distR="114300" simplePos="0" relativeHeight="251658253" behindDoc="0" locked="0" layoutInCell="1" allowOverlap="1" wp14:anchorId="611C2223" wp14:editId="5AF253DE">
            <wp:simplePos x="0" y="0"/>
            <wp:positionH relativeFrom="column">
              <wp:posOffset>-660</wp:posOffset>
            </wp:positionH>
            <wp:positionV relativeFrom="paragraph">
              <wp:posOffset>-129159</wp:posOffset>
            </wp:positionV>
            <wp:extent cx="914400" cy="914400"/>
            <wp:effectExtent l="0" t="0" r="0" b="0"/>
            <wp:wrapNone/>
            <wp:docPr id="44" name="Graphic 44"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Chevron arrows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r w:rsidR="00DC4B9F">
        <w:rPr>
          <w:color w:val="FFFFFF" w:themeColor="background1"/>
          <w:sz w:val="72"/>
          <w:szCs w:val="72"/>
        </w:rPr>
        <w:t xml:space="preserve"> </w:t>
      </w:r>
      <w:r w:rsidR="00DC4B9F">
        <w:rPr>
          <w:color w:val="FFFFFF" w:themeColor="background1"/>
          <w:sz w:val="72"/>
          <w:szCs w:val="72"/>
        </w:rPr>
        <w:tab/>
      </w:r>
      <w:r w:rsidR="00DC4B9F">
        <w:rPr>
          <w:color w:val="FFFFFF" w:themeColor="background1"/>
          <w:sz w:val="72"/>
          <w:szCs w:val="72"/>
        </w:rPr>
        <w:tab/>
        <w:t xml:space="preserve">  </w:t>
      </w:r>
      <w:r w:rsidR="0066315C" w:rsidRPr="0066315C">
        <w:rPr>
          <w:color w:val="FFFFFF" w:themeColor="background1"/>
          <w:sz w:val="72"/>
          <w:szCs w:val="72"/>
        </w:rPr>
        <w:t>Embedding</w:t>
      </w:r>
      <w:r w:rsidR="0066315C" w:rsidRPr="0066315C">
        <w:rPr>
          <w:color w:val="FFFFFF" w:themeColor="background1"/>
          <w:sz w:val="72"/>
          <w:szCs w:val="72"/>
        </w:rPr>
        <w:br/>
      </w:r>
      <w:r w:rsidR="00DC4B9F">
        <w:rPr>
          <w:color w:val="FFFFFF" w:themeColor="background1"/>
          <w:sz w:val="72"/>
          <w:szCs w:val="72"/>
        </w:rPr>
        <w:t xml:space="preserve"> </w:t>
      </w:r>
      <w:r w:rsidR="00DC4B9F">
        <w:rPr>
          <w:color w:val="FFFFFF" w:themeColor="background1"/>
          <w:sz w:val="72"/>
          <w:szCs w:val="72"/>
        </w:rPr>
        <w:tab/>
      </w:r>
      <w:r w:rsidR="00DC4B9F">
        <w:rPr>
          <w:color w:val="FFFFFF" w:themeColor="background1"/>
          <w:sz w:val="72"/>
          <w:szCs w:val="72"/>
        </w:rPr>
        <w:tab/>
        <w:t xml:space="preserve">  </w:t>
      </w:r>
      <w:r w:rsidR="003502CE">
        <w:rPr>
          <w:color w:val="FFFFFF" w:themeColor="background1"/>
          <w:sz w:val="72"/>
          <w:szCs w:val="72"/>
        </w:rPr>
        <w:t>h</w:t>
      </w:r>
      <w:r w:rsidR="0066315C" w:rsidRPr="0066315C">
        <w:rPr>
          <w:color w:val="FFFFFF" w:themeColor="background1"/>
          <w:sz w:val="72"/>
          <w:szCs w:val="72"/>
        </w:rPr>
        <w:t xml:space="preserve">uman </w:t>
      </w:r>
      <w:r w:rsidR="003502CE">
        <w:rPr>
          <w:color w:val="FFFFFF" w:themeColor="background1"/>
          <w:sz w:val="72"/>
          <w:szCs w:val="72"/>
        </w:rPr>
        <w:t>r</w:t>
      </w:r>
      <w:r w:rsidR="0066315C" w:rsidRPr="0066315C">
        <w:rPr>
          <w:color w:val="FFFFFF" w:themeColor="background1"/>
          <w:sz w:val="72"/>
          <w:szCs w:val="72"/>
        </w:rPr>
        <w:t>ights</w:t>
      </w:r>
    </w:p>
    <w:p w14:paraId="579A9202" w14:textId="70AEC99E" w:rsidR="00A63037" w:rsidRDefault="00A63037" w:rsidP="003C6D88">
      <w:pPr>
        <w:pStyle w:val="Bigquotetext"/>
        <w:spacing w:before="240" w:after="360"/>
        <w:ind w:left="0"/>
        <w:rPr>
          <w:color w:val="FFFFFF" w:themeColor="background1"/>
          <w:sz w:val="28"/>
          <w:szCs w:val="18"/>
        </w:rPr>
      </w:pPr>
      <w:r>
        <w:rPr>
          <w:color w:val="FFFFFF" w:themeColor="background1"/>
          <w:sz w:val="28"/>
          <w:szCs w:val="18"/>
        </w:rPr>
        <w:t>3 STEPS TO MEET YOUR DUTIES AND SUPPORT YOUR PRACTICE</w:t>
      </w:r>
    </w:p>
    <w:p w14:paraId="7CE797EB" w14:textId="66777FDC" w:rsidR="00A63037" w:rsidRDefault="00F4394C" w:rsidP="009B114C">
      <w:pPr>
        <w:pStyle w:val="Bigquotetext"/>
        <w:ind w:left="0" w:right="0"/>
        <w:rPr>
          <w:color w:val="FFFFFF" w:themeColor="background1"/>
          <w:sz w:val="28"/>
          <w:szCs w:val="18"/>
        </w:rPr>
      </w:pPr>
      <w:r>
        <w:rPr>
          <w:color w:val="FFFFFF" w:themeColor="background1"/>
          <w:sz w:val="28"/>
          <w:szCs w:val="18"/>
        </w:rPr>
        <w:t xml:space="preserve">The following </w:t>
      </w:r>
      <w:r>
        <w:rPr>
          <w:b/>
          <w:bCs/>
          <w:color w:val="FFFFFF" w:themeColor="background1"/>
          <w:sz w:val="28"/>
          <w:szCs w:val="18"/>
        </w:rPr>
        <w:t>three steps</w:t>
      </w:r>
      <w:r>
        <w:rPr>
          <w:color w:val="FFFFFF" w:themeColor="background1"/>
          <w:sz w:val="28"/>
          <w:szCs w:val="18"/>
        </w:rPr>
        <w:t xml:space="preserve"> can create the best human rights outcomes for Victorians engaging with the mental health </w:t>
      </w:r>
      <w:r w:rsidR="003502CE">
        <w:rPr>
          <w:color w:val="FFFFFF" w:themeColor="background1"/>
          <w:sz w:val="28"/>
          <w:szCs w:val="18"/>
        </w:rPr>
        <w:t xml:space="preserve">and wellbeing </w:t>
      </w:r>
      <w:r>
        <w:rPr>
          <w:color w:val="FFFFFF" w:themeColor="background1"/>
          <w:sz w:val="28"/>
          <w:szCs w:val="18"/>
        </w:rPr>
        <w:t>system as well as assist you to meet your duties under the Charter. They are:</w:t>
      </w:r>
    </w:p>
    <w:p w14:paraId="6A0F89AE" w14:textId="77777777" w:rsidR="00553689" w:rsidRDefault="00553689" w:rsidP="00A63037">
      <w:pPr>
        <w:pStyle w:val="Bigquotetext"/>
        <w:ind w:left="0"/>
        <w:rPr>
          <w:color w:val="FFFFFF" w:themeColor="background1"/>
          <w:sz w:val="2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BA677B" w14:paraId="185932B1" w14:textId="77777777" w:rsidTr="00556935">
        <w:trPr>
          <w:trHeight w:val="2162"/>
        </w:trPr>
        <w:tc>
          <w:tcPr>
            <w:tcW w:w="1696" w:type="dxa"/>
            <w:shd w:val="clear" w:color="auto" w:fill="201547"/>
            <w:hideMark/>
          </w:tcPr>
          <w:p w14:paraId="2EF26422" w14:textId="499FCD3E" w:rsidR="00BA677B" w:rsidRPr="00CA14ED" w:rsidRDefault="00BA677B">
            <w:pPr>
              <w:spacing w:after="0"/>
              <w:rPr>
                <w:color w:val="FFFFFF" w:themeColor="background1"/>
                <w:sz w:val="26"/>
              </w:rPr>
            </w:pPr>
            <w:r w:rsidRPr="00CA14ED">
              <w:rPr>
                <w:noProof/>
                <w:color w:val="FFFFFF" w:themeColor="background1"/>
                <w:sz w:val="26"/>
              </w:rPr>
              <mc:AlternateContent>
                <mc:Choice Requires="wps">
                  <w:drawing>
                    <wp:inline distT="0" distB="0" distL="0" distR="0" wp14:anchorId="7EC1C631" wp14:editId="5E1E76AD">
                      <wp:extent cx="923925" cy="923925"/>
                      <wp:effectExtent l="0" t="0" r="9525" b="9525"/>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377375"/>
                              </a:solidFill>
                              <a:ln>
                                <a:noFill/>
                              </a:ln>
                            </wps:spPr>
                            <wps:txbx>
                              <w:txbxContent>
                                <w:p w14:paraId="443B3879" w14:textId="77777777" w:rsidR="00BA677B" w:rsidRDefault="00BA677B" w:rsidP="00BA677B">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1</w:t>
                                  </w:r>
                                </w:p>
                              </w:txbxContent>
                            </wps:txbx>
                            <wps:bodyPr rot="0" vert="horz" wrap="square" lIns="0" tIns="0" rIns="0" bIns="0" anchor="ctr" anchorCtr="0" upright="1">
                              <a:noAutofit/>
                            </wps:bodyPr>
                          </wps:wsp>
                        </a:graphicData>
                      </a:graphic>
                    </wp:inline>
                  </w:drawing>
                </mc:Choice>
                <mc:Fallback>
                  <w:pict>
                    <v:oval w14:anchorId="7EC1C631" id="Oval 18" o:spid="_x0000_s1029" style="width:72.7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" fillcolor="#377375" stroked="f">
                      <v:textbox inset="0,0,0,0">
                        <w:txbxContent>
                          <w:p w14:paraId="443B3879" w14:textId="77777777" w:rsidR="00BA677B" w:rsidRDefault="00BA677B" w:rsidP="00BA677B">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1</w:t>
                            </w:r>
                          </w:p>
                        </w:txbxContent>
                      </v:textbox>
                      <w10:anchorlock/>
                    </v:oval>
                  </w:pict>
                </mc:Fallback>
              </mc:AlternateContent>
            </w:r>
          </w:p>
        </w:tc>
        <w:tc>
          <w:tcPr>
            <w:tcW w:w="7364" w:type="dxa"/>
            <w:shd w:val="clear" w:color="auto" w:fill="201547"/>
            <w:hideMark/>
          </w:tcPr>
          <w:p w14:paraId="23F82E97" w14:textId="77777777" w:rsidR="00BA677B" w:rsidRDefault="00BA677B">
            <w:pPr>
              <w:spacing w:after="120" w:line="216" w:lineRule="auto"/>
              <w:rPr>
                <w:b/>
                <w:bCs/>
                <w:color w:val="FFFFFF" w:themeColor="background1"/>
                <w:sz w:val="36"/>
                <w:szCs w:val="36"/>
              </w:rPr>
            </w:pPr>
            <w:r w:rsidRPr="00930540">
              <w:rPr>
                <w:b/>
                <w:bCs/>
                <w:i/>
                <w:iCs/>
                <w:color w:val="FFFFFF" w:themeColor="background1"/>
                <w:sz w:val="36"/>
                <w:szCs w:val="36"/>
              </w:rPr>
              <w:t>Forecast</w:t>
            </w:r>
            <w:r>
              <w:rPr>
                <w:b/>
                <w:bCs/>
                <w:color w:val="FFFFFF" w:themeColor="background1"/>
                <w:sz w:val="36"/>
                <w:szCs w:val="36"/>
              </w:rPr>
              <w:t xml:space="preserve"> the impacts of today's decision</w:t>
            </w:r>
          </w:p>
          <w:p w14:paraId="03202037" w14:textId="51A474DC" w:rsidR="00BA677B" w:rsidRPr="00553689" w:rsidRDefault="006244AC" w:rsidP="00E225B4">
            <w:pPr>
              <w:pStyle w:val="ListParagraph"/>
              <w:numPr>
                <w:ilvl w:val="0"/>
                <w:numId w:val="35"/>
              </w:numPr>
              <w:spacing w:after="120" w:line="216" w:lineRule="auto"/>
              <w:rPr>
                <w:color w:val="FFFFFF" w:themeColor="background1"/>
                <w:sz w:val="28"/>
                <w:szCs w:val="28"/>
              </w:rPr>
            </w:pPr>
            <w:hyperlink r:id="rId31" w:anchor="_Question_1._Have" w:history="1">
              <w:r w:rsidR="00BA677B" w:rsidRPr="00553689">
                <w:rPr>
                  <w:rStyle w:val="Hyperlink"/>
                  <w:color w:val="FFFFFF" w:themeColor="background1"/>
                  <w:sz w:val="28"/>
                  <w:szCs w:val="28"/>
                </w:rPr>
                <w:t xml:space="preserve">How could people at the end of </w:t>
              </w:r>
              <w:r w:rsidR="00BA677B" w:rsidRPr="00CA14ED">
                <w:rPr>
                  <w:rStyle w:val="Hyperlink"/>
                  <w:color w:val="FFFFFF" w:themeColor="background1"/>
                  <w:sz w:val="28"/>
                  <w:szCs w:val="28"/>
                </w:rPr>
                <w:t>our</w:t>
              </w:r>
              <w:r w:rsidR="00BA677B" w:rsidRPr="00553689">
                <w:rPr>
                  <w:rStyle w:val="Hyperlink"/>
                  <w:color w:val="FFFFFF" w:themeColor="background1"/>
                  <w:sz w:val="28"/>
                  <w:szCs w:val="28"/>
                </w:rPr>
                <w:t xml:space="preserve"> decision or policy be affected?</w:t>
              </w:r>
            </w:hyperlink>
          </w:p>
          <w:p w14:paraId="02808ACB" w14:textId="4E11D7A3" w:rsidR="00561F5A" w:rsidRPr="00561F5A" w:rsidRDefault="00561F5A" w:rsidP="00E225B4">
            <w:pPr>
              <w:pStyle w:val="ListParagraph"/>
              <w:numPr>
                <w:ilvl w:val="0"/>
                <w:numId w:val="35"/>
              </w:numPr>
              <w:spacing w:line="256" w:lineRule="auto"/>
              <w:rPr>
                <w:color w:val="FFFFFF" w:themeColor="background1"/>
                <w:sz w:val="36"/>
                <w:szCs w:val="36"/>
                <w:u w:val="single"/>
              </w:rPr>
            </w:pPr>
            <w:r w:rsidRPr="00CA14ED">
              <w:rPr>
                <w:color w:val="FFFFFF" w:themeColor="background1"/>
                <w:sz w:val="28"/>
                <w:szCs w:val="28"/>
                <w:u w:val="single"/>
              </w:rPr>
              <w:t>How</w:t>
            </w:r>
            <w:hyperlink r:id="rId32" w:anchor="_Question_2._Can" w:history="1">
              <w:r w:rsidRPr="00CA14ED">
                <w:rPr>
                  <w:color w:val="FFFFFF" w:themeColor="background1"/>
                  <w:sz w:val="28"/>
                  <w:szCs w:val="28"/>
                  <w:u w:val="single"/>
                </w:rPr>
                <w:t xml:space="preserve"> </w:t>
              </w:r>
              <w:r w:rsidRPr="00CA14ED">
                <w:rPr>
                  <w:color w:val="FFFFFF" w:themeColor="background1"/>
                  <w:sz w:val="28"/>
                  <w:szCs w:val="24"/>
                  <w:u w:val="single"/>
                </w:rPr>
                <w:t>c</w:t>
              </w:r>
              <w:r w:rsidR="00BA677B" w:rsidRPr="00561F5A">
                <w:rPr>
                  <w:rStyle w:val="Hyperlink"/>
                  <w:color w:val="FFFFFF" w:themeColor="background1"/>
                  <w:sz w:val="28"/>
                  <w:szCs w:val="28"/>
                </w:rPr>
                <w:t>an we draw on lived experience in this decision?</w:t>
              </w:r>
            </w:hyperlink>
          </w:p>
        </w:tc>
      </w:tr>
    </w:tbl>
    <w:p w14:paraId="67BF797E" w14:textId="77777777" w:rsidR="00F4394C" w:rsidRDefault="00F4394C" w:rsidP="00A63037">
      <w:pPr>
        <w:pStyle w:val="Bigquotetext"/>
        <w:ind w:left="0"/>
        <w:rPr>
          <w:color w:val="FFFFFF" w:themeColor="background1"/>
          <w:sz w:val="28"/>
          <w:szCs w:val="18"/>
        </w:rPr>
      </w:pPr>
    </w:p>
    <w:tbl>
      <w:tblPr>
        <w:tblStyle w:val="TableGrid"/>
        <w:tblW w:w="0" w:type="auto"/>
        <w:tblInd w:w="-3" w:type="dxa"/>
        <w:tblBorders>
          <w:top w:val="single" w:sz="2" w:space="0" w:color="201547"/>
          <w:left w:val="single" w:sz="2" w:space="0" w:color="201547"/>
          <w:bottom w:val="single" w:sz="2" w:space="0" w:color="201547"/>
          <w:right w:val="single" w:sz="2" w:space="0" w:color="201547"/>
          <w:insideH w:val="single" w:sz="2" w:space="0" w:color="201547"/>
          <w:insideV w:val="single" w:sz="2" w:space="0" w:color="201547"/>
        </w:tblBorders>
        <w:tblLook w:val="04A0" w:firstRow="1" w:lastRow="0" w:firstColumn="1" w:lastColumn="0" w:noHBand="0" w:noVBand="1"/>
      </w:tblPr>
      <w:tblGrid>
        <w:gridCol w:w="1696"/>
        <w:gridCol w:w="7364"/>
      </w:tblGrid>
      <w:tr w:rsidR="00561F5A" w:rsidRPr="00263838" w14:paraId="02BC7001" w14:textId="77777777" w:rsidTr="001D7CD0">
        <w:trPr>
          <w:trHeight w:val="2433"/>
        </w:trPr>
        <w:tc>
          <w:tcPr>
            <w:tcW w:w="1696" w:type="dxa"/>
            <w:tcBorders>
              <w:bottom w:val="nil"/>
            </w:tcBorders>
            <w:shd w:val="clear" w:color="auto" w:fill="201547"/>
          </w:tcPr>
          <w:p w14:paraId="6A55EDD1" w14:textId="77777777" w:rsidR="00561F5A" w:rsidRPr="00CA14ED" w:rsidRDefault="00561F5A" w:rsidP="00AE59AF">
            <w:pPr>
              <w:rPr>
                <w:color w:val="FFFFFF" w:themeColor="background1"/>
              </w:rPr>
            </w:pPr>
            <w:r w:rsidRPr="00CA14ED">
              <w:rPr>
                <w:noProof/>
                <w:color w:val="FFFFFF" w:themeColor="background1"/>
              </w:rPr>
              <mc:AlternateContent>
                <mc:Choice Requires="wps">
                  <w:drawing>
                    <wp:inline distT="0" distB="0" distL="0" distR="0" wp14:anchorId="12218532" wp14:editId="2AFF96CD">
                      <wp:extent cx="923925" cy="923925"/>
                      <wp:effectExtent l="0" t="0" r="9525" b="9525"/>
                      <wp:docPr id="26" name="Oval 26"/>
                      <wp:cNvGraphicFramePr/>
                      <a:graphic xmlns:a="http://schemas.openxmlformats.org/drawingml/2006/main">
                        <a:graphicData uri="http://schemas.microsoft.com/office/word/2010/wordprocessingShape">
                          <wps:wsp>
                            <wps:cNvSpPr/>
                            <wps:spPr>
                              <a:xfrm>
                                <a:off x="0" y="0"/>
                                <a:ext cx="923925" cy="9239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85022" w14:textId="77777777" w:rsidR="00561F5A" w:rsidRPr="00081A1D" w:rsidRDefault="00561F5A" w:rsidP="00561F5A">
                                  <w:pPr>
                                    <w:spacing w:after="0"/>
                                    <w:jc w:val="center"/>
                                    <w:rPr>
                                      <w:rFonts w:ascii="Arial" w:hAnsi="Arial" w:cs="Arial"/>
                                      <w:b/>
                                      <w:bCs/>
                                      <w:color w:val="FFFFFF" w:themeColor="background1"/>
                                      <w:sz w:val="72"/>
                                      <w:szCs w:val="72"/>
                                    </w:rPr>
                                  </w:pPr>
                                  <w:r w:rsidRPr="00081A1D">
                                    <w:rPr>
                                      <w:rFonts w:ascii="Arial" w:hAnsi="Arial" w:cs="Arial"/>
                                      <w:b/>
                                      <w:bCs/>
                                      <w:color w:val="FFFFFF" w:themeColor="background1"/>
                                      <w:sz w:val="72"/>
                                      <w:szCs w:val="7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218532" id="Oval 26" o:spid="_x0000_s1030" style="width:72.7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" fillcolor="#377375 [3204]" stroked="f" strokeweight="1pt">
                      <v:stroke joinstyle="miter"/>
                      <v:textbox inset="0,0,0,0">
                        <w:txbxContent>
                          <w:p w14:paraId="4E285022" w14:textId="77777777" w:rsidR="00561F5A" w:rsidRPr="00081A1D" w:rsidRDefault="00561F5A" w:rsidP="00561F5A">
                            <w:pPr>
                              <w:spacing w:after="0"/>
                              <w:jc w:val="center"/>
                              <w:rPr>
                                <w:rFonts w:ascii="Arial" w:hAnsi="Arial" w:cs="Arial"/>
                                <w:b/>
                                <w:bCs/>
                                <w:color w:val="FFFFFF" w:themeColor="background1"/>
                                <w:sz w:val="72"/>
                                <w:szCs w:val="72"/>
                              </w:rPr>
                            </w:pPr>
                            <w:r w:rsidRPr="00081A1D">
                              <w:rPr>
                                <w:rFonts w:ascii="Arial" w:hAnsi="Arial" w:cs="Arial"/>
                                <w:b/>
                                <w:bCs/>
                                <w:color w:val="FFFFFF" w:themeColor="background1"/>
                                <w:sz w:val="72"/>
                                <w:szCs w:val="72"/>
                              </w:rPr>
                              <w:t>2</w:t>
                            </w:r>
                          </w:p>
                        </w:txbxContent>
                      </v:textbox>
                      <w10:anchorlock/>
                    </v:oval>
                  </w:pict>
                </mc:Fallback>
              </mc:AlternateContent>
            </w:r>
          </w:p>
        </w:tc>
        <w:tc>
          <w:tcPr>
            <w:tcW w:w="7364" w:type="dxa"/>
            <w:tcBorders>
              <w:bottom w:val="nil"/>
            </w:tcBorders>
            <w:shd w:val="clear" w:color="auto" w:fill="201547"/>
          </w:tcPr>
          <w:p w14:paraId="7D915B3D" w14:textId="68BD9850" w:rsidR="00561F5A" w:rsidRPr="00263838" w:rsidRDefault="00561F5A" w:rsidP="00AE59AF">
            <w:pPr>
              <w:spacing w:after="120" w:line="216" w:lineRule="auto"/>
              <w:rPr>
                <w:b/>
                <w:bCs/>
                <w:color w:val="FFFFFF" w:themeColor="background1"/>
                <w:sz w:val="36"/>
                <w:szCs w:val="36"/>
              </w:rPr>
            </w:pPr>
            <w:r w:rsidRPr="00930540">
              <w:rPr>
                <w:b/>
                <w:bCs/>
                <w:i/>
                <w:iCs/>
                <w:color w:val="FFFFFF" w:themeColor="background1"/>
                <w:sz w:val="36"/>
                <w:szCs w:val="36"/>
              </w:rPr>
              <w:t>Assess</w:t>
            </w:r>
            <w:r w:rsidRPr="00263838">
              <w:rPr>
                <w:b/>
                <w:bCs/>
                <w:color w:val="FFFFFF" w:themeColor="background1"/>
                <w:sz w:val="36"/>
                <w:szCs w:val="36"/>
              </w:rPr>
              <w:t xml:space="preserve"> human rights </w:t>
            </w:r>
            <w:r w:rsidR="00162655">
              <w:rPr>
                <w:b/>
                <w:bCs/>
                <w:color w:val="FFFFFF" w:themeColor="background1"/>
                <w:sz w:val="36"/>
                <w:szCs w:val="36"/>
              </w:rPr>
              <w:t>situation</w:t>
            </w:r>
          </w:p>
          <w:p w14:paraId="4C663E14" w14:textId="4EF8D635" w:rsidR="00561F5A" w:rsidRPr="00930540" w:rsidRDefault="006244AC" w:rsidP="00E225B4">
            <w:pPr>
              <w:pStyle w:val="ListParagraph"/>
              <w:numPr>
                <w:ilvl w:val="0"/>
                <w:numId w:val="35"/>
              </w:numPr>
              <w:spacing w:before="0" w:after="120" w:line="216" w:lineRule="auto"/>
              <w:contextualSpacing w:val="0"/>
              <w:rPr>
                <w:color w:val="FFFFFF" w:themeColor="background1"/>
                <w:sz w:val="28"/>
                <w:szCs w:val="28"/>
              </w:rPr>
            </w:pPr>
            <w:hyperlink w:anchor="_Question_3._What" w:history="1">
              <w:r w:rsidR="00561F5A" w:rsidRPr="00930540">
                <w:rPr>
                  <w:rStyle w:val="Hyperlink"/>
                  <w:color w:val="FFFFFF" w:themeColor="background1"/>
                  <w:sz w:val="28"/>
                  <w:szCs w:val="28"/>
                </w:rPr>
                <w:t xml:space="preserve">What is the human rights context </w:t>
              </w:r>
              <w:r w:rsidR="005210FE">
                <w:rPr>
                  <w:rStyle w:val="Hyperlink"/>
                  <w:color w:val="FFFFFF" w:themeColor="background1"/>
                  <w:sz w:val="28"/>
                  <w:szCs w:val="28"/>
                </w:rPr>
                <w:t>and</w:t>
              </w:r>
              <w:r w:rsidR="00561F5A" w:rsidRPr="00930540">
                <w:rPr>
                  <w:rStyle w:val="Hyperlink"/>
                  <w:color w:val="FFFFFF" w:themeColor="background1"/>
                  <w:sz w:val="28"/>
                  <w:szCs w:val="28"/>
                </w:rPr>
                <w:t xml:space="preserve"> history?</w:t>
              </w:r>
            </w:hyperlink>
          </w:p>
          <w:p w14:paraId="0968561E" w14:textId="7D582724" w:rsidR="00561F5A" w:rsidRPr="00263838" w:rsidRDefault="006244AC" w:rsidP="00E225B4">
            <w:pPr>
              <w:pStyle w:val="ListParagraph"/>
              <w:numPr>
                <w:ilvl w:val="0"/>
                <w:numId w:val="35"/>
              </w:numPr>
              <w:spacing w:before="0" w:after="120" w:line="216" w:lineRule="auto"/>
              <w:contextualSpacing w:val="0"/>
              <w:rPr>
                <w:color w:val="FFFFFF" w:themeColor="background1"/>
                <w:sz w:val="36"/>
                <w:szCs w:val="36"/>
              </w:rPr>
            </w:pPr>
            <w:hyperlink w:anchor="_Question_4._Are" w:history="1">
              <w:r w:rsidR="00561F5A" w:rsidRPr="00930540">
                <w:rPr>
                  <w:rStyle w:val="Hyperlink"/>
                  <w:color w:val="FFFFFF" w:themeColor="background1"/>
                  <w:sz w:val="28"/>
                  <w:szCs w:val="28"/>
                </w:rPr>
                <w:t>Are some rights limited or lacking?</w:t>
              </w:r>
            </w:hyperlink>
          </w:p>
        </w:tc>
      </w:tr>
      <w:tr w:rsidR="008E68DA" w14:paraId="7736FDAA" w14:textId="77777777" w:rsidTr="001D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2"/>
        </w:trPr>
        <w:tc>
          <w:tcPr>
            <w:tcW w:w="1696" w:type="dxa"/>
            <w:shd w:val="clear" w:color="auto" w:fill="201547"/>
            <w:hideMark/>
          </w:tcPr>
          <w:p w14:paraId="2502B9AF" w14:textId="77777777" w:rsidR="008E68DA" w:rsidRPr="00CA14ED" w:rsidRDefault="008E68DA" w:rsidP="00AE59AF">
            <w:pPr>
              <w:spacing w:after="0"/>
              <w:rPr>
                <w:color w:val="FFFFFF" w:themeColor="background1"/>
                <w:sz w:val="26"/>
              </w:rPr>
            </w:pPr>
            <w:r w:rsidRPr="00CA14ED">
              <w:rPr>
                <w:noProof/>
                <w:color w:val="FFFFFF" w:themeColor="background1"/>
                <w:sz w:val="26"/>
              </w:rPr>
              <mc:AlternateContent>
                <mc:Choice Requires="wps">
                  <w:drawing>
                    <wp:inline distT="0" distB="0" distL="0" distR="0" wp14:anchorId="011120F9" wp14:editId="092AA5BC">
                      <wp:extent cx="923925" cy="923925"/>
                      <wp:effectExtent l="0" t="0" r="0" b="0"/>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E176A0" w14:textId="0287293E" w:rsidR="008E68DA" w:rsidRDefault="008E68DA" w:rsidP="008E68DA">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3</w:t>
                                  </w:r>
                                </w:p>
                              </w:txbxContent>
                            </wps:txbx>
                            <wps:bodyPr rot="0" vert="horz" wrap="square" lIns="0" tIns="0" rIns="0" bIns="0" anchor="ctr" anchorCtr="0" upright="1">
                              <a:noAutofit/>
                            </wps:bodyPr>
                          </wps:wsp>
                        </a:graphicData>
                      </a:graphic>
                    </wp:inline>
                  </w:drawing>
                </mc:Choice>
                <mc:Fallback>
                  <w:pict>
                    <v:oval w14:anchorId="011120F9" id="Oval 46" o:spid="_x0000_s1031" style="width:72.7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" fillcolor="#377375 [3204]" stroked="f" strokeweight="1pt">
                      <v:stroke joinstyle="miter"/>
                      <v:textbox inset="0,0,0,0">
                        <w:txbxContent>
                          <w:p w14:paraId="41E176A0" w14:textId="0287293E" w:rsidR="008E68DA" w:rsidRDefault="008E68DA" w:rsidP="008E68DA">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3</w:t>
                            </w:r>
                          </w:p>
                        </w:txbxContent>
                      </v:textbox>
                      <w10:anchorlock/>
                    </v:oval>
                  </w:pict>
                </mc:Fallback>
              </mc:AlternateContent>
            </w:r>
          </w:p>
        </w:tc>
        <w:tc>
          <w:tcPr>
            <w:tcW w:w="7364" w:type="dxa"/>
            <w:shd w:val="clear" w:color="auto" w:fill="201547"/>
            <w:hideMark/>
          </w:tcPr>
          <w:p w14:paraId="749A2E7D" w14:textId="146BD8F7" w:rsidR="008E68DA" w:rsidRDefault="003C6D88" w:rsidP="00AE59AF">
            <w:pPr>
              <w:spacing w:after="120" w:line="216" w:lineRule="auto"/>
              <w:rPr>
                <w:b/>
                <w:bCs/>
                <w:color w:val="FFFFFF" w:themeColor="background1"/>
                <w:sz w:val="36"/>
                <w:szCs w:val="36"/>
              </w:rPr>
            </w:pPr>
            <w:r>
              <w:rPr>
                <w:b/>
                <w:bCs/>
                <w:i/>
                <w:iCs/>
                <w:color w:val="FFFFFF" w:themeColor="background1"/>
                <w:sz w:val="36"/>
                <w:szCs w:val="36"/>
              </w:rPr>
              <w:t>Decide</w:t>
            </w:r>
            <w:r>
              <w:rPr>
                <w:b/>
                <w:bCs/>
                <w:color w:val="FFFFFF" w:themeColor="background1"/>
                <w:sz w:val="36"/>
                <w:szCs w:val="36"/>
              </w:rPr>
              <w:t xml:space="preserve"> on how to proceed</w:t>
            </w:r>
          </w:p>
          <w:p w14:paraId="59F6546D" w14:textId="30489B26" w:rsidR="008E68DA" w:rsidRPr="00BE4225" w:rsidRDefault="6D69D0D5" w:rsidP="00E225B4">
            <w:pPr>
              <w:pStyle w:val="ListParagraph"/>
              <w:numPr>
                <w:ilvl w:val="0"/>
                <w:numId w:val="35"/>
              </w:numPr>
              <w:spacing w:after="120" w:line="216" w:lineRule="auto"/>
              <w:rPr>
                <w:color w:val="FFFFFF" w:themeColor="background1"/>
                <w:sz w:val="28"/>
                <w:szCs w:val="28"/>
                <w:u w:val="single"/>
              </w:rPr>
            </w:pPr>
            <w:r w:rsidRPr="6D69D0D5">
              <w:rPr>
                <w:color w:val="FFFFFF" w:themeColor="background1"/>
                <w:sz w:val="28"/>
                <w:szCs w:val="28"/>
                <w:u w:val="single"/>
              </w:rPr>
              <w:t>How do we promote</w:t>
            </w:r>
            <w:r w:rsidR="00FE6BEC">
              <w:rPr>
                <w:color w:val="FFFFFF" w:themeColor="background1"/>
                <w:sz w:val="28"/>
                <w:szCs w:val="28"/>
                <w:u w:val="single"/>
              </w:rPr>
              <w:t>, comply with and balance human rights</w:t>
            </w:r>
            <w:r w:rsidRPr="6D69D0D5">
              <w:rPr>
                <w:color w:val="FFFFFF" w:themeColor="background1"/>
                <w:sz w:val="28"/>
                <w:szCs w:val="28"/>
                <w:u w:val="single"/>
              </w:rPr>
              <w:t xml:space="preserve">? </w:t>
            </w:r>
          </w:p>
          <w:p w14:paraId="5A11C81E" w14:textId="4EFD2CBA" w:rsidR="008E68DA" w:rsidRPr="00561F5A" w:rsidRDefault="00BE4225" w:rsidP="00E225B4">
            <w:pPr>
              <w:pStyle w:val="ListParagraph"/>
              <w:numPr>
                <w:ilvl w:val="0"/>
                <w:numId w:val="35"/>
              </w:numPr>
              <w:spacing w:line="256" w:lineRule="auto"/>
              <w:rPr>
                <w:color w:val="FFFFFF" w:themeColor="background1"/>
                <w:sz w:val="36"/>
                <w:szCs w:val="36"/>
                <w:u w:val="single"/>
              </w:rPr>
            </w:pPr>
            <w:r w:rsidRPr="00CA14ED">
              <w:rPr>
                <w:color w:val="FFFFFF" w:themeColor="background1"/>
                <w:sz w:val="28"/>
                <w:szCs w:val="28"/>
                <w:u w:val="single"/>
              </w:rPr>
              <w:t>How will we keep records to show that we considered human rights?</w:t>
            </w:r>
          </w:p>
        </w:tc>
      </w:tr>
    </w:tbl>
    <w:p w14:paraId="0F924E40" w14:textId="19B89C64" w:rsidR="001D1E80" w:rsidRDefault="0085007C" w:rsidP="0085007C">
      <w:pPr>
        <w:pStyle w:val="Heading2-report"/>
        <w:tabs>
          <w:tab w:val="left" w:pos="5173"/>
          <w:tab w:val="left" w:pos="7870"/>
        </w:tabs>
        <w:rPr>
          <w:rFonts w:ascii="Arial" w:hAnsi="Arial" w:cs="Arial"/>
          <w:b w:val="0"/>
          <w:bCs w:val="0"/>
          <w:color w:val="FFFFFF" w:themeColor="background1"/>
          <w:sz w:val="72"/>
          <w:szCs w:val="72"/>
        </w:rPr>
      </w:pPr>
      <w:r>
        <w:rPr>
          <w:noProof/>
        </w:rPr>
        <w:lastRenderedPageBreak/>
        <w:drawing>
          <wp:anchor distT="0" distB="0" distL="114300" distR="114300" simplePos="0" relativeHeight="251658259" behindDoc="0" locked="0" layoutInCell="1" allowOverlap="1" wp14:anchorId="278C8709" wp14:editId="47B842D9">
            <wp:simplePos x="0" y="0"/>
            <wp:positionH relativeFrom="page">
              <wp:align>right</wp:align>
            </wp:positionH>
            <wp:positionV relativeFrom="paragraph">
              <wp:posOffset>-655182</wp:posOffset>
            </wp:positionV>
            <wp:extent cx="2678053" cy="2688880"/>
            <wp:effectExtent l="0" t="0" r="8255" b="0"/>
            <wp:wrapNone/>
            <wp:docPr id="3" name="Picture 3" descr="Symbol of a crystal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ymbol of a crystal ball."/>
                    <pic:cNvPicPr>
                      <a:picLocks noChangeAspect="1" noChangeArrowheads="1"/>
                    </pic:cNvPicPr>
                  </pic:nvPicPr>
                  <pic:blipFill rotWithShape="1">
                    <a:blip r:embed="rId33">
                      <a:extLst>
                        <a:ext uri="{28A0092B-C50C-407E-A947-70E740481C1C}">
                          <a14:useLocalDpi xmlns:a14="http://schemas.microsoft.com/office/drawing/2010/main" val="0"/>
                        </a:ext>
                      </a:extLst>
                    </a:blip>
                    <a:srcRect l="56423" b="69058"/>
                    <a:stretch/>
                  </pic:blipFill>
                  <pic:spPr bwMode="auto">
                    <a:xfrm>
                      <a:off x="0" y="0"/>
                      <a:ext cx="2678053" cy="268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C36">
        <w:rPr>
          <w:noProof/>
          <w:sz w:val="26"/>
        </w:rPr>
        <mc:AlternateContent>
          <mc:Choice Requires="wps">
            <w:drawing>
              <wp:inline distT="0" distB="0" distL="0" distR="0" wp14:anchorId="75012DB1" wp14:editId="5E8AF911">
                <wp:extent cx="742950" cy="742950"/>
                <wp:effectExtent l="0" t="0" r="0" b="0"/>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201547"/>
                        </a:solidFill>
                        <a:ln>
                          <a:noFill/>
                        </a:ln>
                      </wps:spPr>
                      <wps:txbx>
                        <w:txbxContent>
                          <w:p w14:paraId="22352FB0" w14:textId="0CC89FD5" w:rsidR="00EB6C36" w:rsidRDefault="00EB6C36" w:rsidP="00EB6C36">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1</w:t>
                            </w:r>
                          </w:p>
                        </w:txbxContent>
                      </wps:txbx>
                      <wps:bodyPr rot="0" vert="horz" wrap="square" lIns="0" tIns="0" rIns="0" bIns="0" anchor="ctr" anchorCtr="0" upright="1">
                        <a:noAutofit/>
                      </wps:bodyPr>
                    </wps:wsp>
                  </a:graphicData>
                </a:graphic>
              </wp:inline>
            </w:drawing>
          </mc:Choice>
          <mc:Fallback>
            <w:pict>
              <v:oval w14:anchorId="75012DB1" id="Oval 27" o:spid="_x0000_s1032" style="width:58.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" fillcolor="#201547" stroked="f">
                <v:textbox inset="0,0,0,0">
                  <w:txbxContent>
                    <w:p w14:paraId="22352FB0" w14:textId="0CC89FD5" w:rsidR="00EB6C36" w:rsidRDefault="00EB6C36" w:rsidP="00EB6C36">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1</w:t>
                      </w:r>
                    </w:p>
                  </w:txbxContent>
                </v:textbox>
                <w10:anchorlock/>
              </v:oval>
            </w:pict>
          </mc:Fallback>
        </mc:AlternateContent>
      </w:r>
      <w:r w:rsidR="0091262D">
        <w:rPr>
          <w:rFonts w:ascii="Arial" w:hAnsi="Arial" w:cs="Arial"/>
          <w:b w:val="0"/>
          <w:bCs w:val="0"/>
          <w:color w:val="FFFFFF" w:themeColor="background1"/>
          <w:sz w:val="72"/>
          <w:szCs w:val="72"/>
        </w:rPr>
        <w:tab/>
      </w:r>
      <w:r>
        <w:rPr>
          <w:rFonts w:ascii="Arial" w:hAnsi="Arial" w:cs="Arial"/>
          <w:b w:val="0"/>
          <w:bCs w:val="0"/>
          <w:color w:val="FFFFFF" w:themeColor="background1"/>
          <w:sz w:val="72"/>
          <w:szCs w:val="72"/>
        </w:rPr>
        <w:tab/>
      </w:r>
    </w:p>
    <w:p w14:paraId="293265DF" w14:textId="5DE75AC6" w:rsidR="00092F77" w:rsidRDefault="00092F77" w:rsidP="00A44B19">
      <w:pPr>
        <w:pStyle w:val="Heading1-report"/>
      </w:pPr>
      <w:r>
        <w:t xml:space="preserve">Step 1: </w:t>
      </w:r>
      <w:r w:rsidRPr="00B05E08">
        <w:t xml:space="preserve">Forecast </w:t>
      </w:r>
    </w:p>
    <w:p w14:paraId="3051627D" w14:textId="28A6ACA1" w:rsidR="00715519" w:rsidRPr="008764F7" w:rsidRDefault="008764F7" w:rsidP="00FE6BEC">
      <w:pPr>
        <w:pStyle w:val="Heading2-report"/>
        <w:tabs>
          <w:tab w:val="right" w:pos="9070"/>
        </w:tabs>
      </w:pPr>
      <w:r>
        <w:t>BEFORE WE START</w:t>
      </w:r>
      <w:r w:rsidR="008670B0">
        <w:tab/>
      </w:r>
    </w:p>
    <w:p w14:paraId="0D7AE645" w14:textId="6028968F" w:rsidR="00092F77" w:rsidRDefault="00092F77" w:rsidP="00092F77">
      <w:r>
        <w:t xml:space="preserve">Many of the decisions you make within the Division </w:t>
      </w:r>
      <w:r w:rsidRPr="00F24CD3">
        <w:rPr>
          <w:i/>
          <w:iCs/>
        </w:rPr>
        <w:t>today</w:t>
      </w:r>
      <w:r>
        <w:t xml:space="preserve"> will have their impacts ‘on the ground’ </w:t>
      </w:r>
      <w:r w:rsidRPr="00F24CD3">
        <w:rPr>
          <w:i/>
          <w:iCs/>
        </w:rPr>
        <w:t>tomorrow</w:t>
      </w:r>
      <w:r>
        <w:t xml:space="preserve">. Mental health legislation often deals with </w:t>
      </w:r>
      <w:r w:rsidRPr="00E172A0">
        <w:t>tomorrow’s</w:t>
      </w:r>
      <w:r>
        <w:rPr>
          <w:i/>
          <w:iCs/>
        </w:rPr>
        <w:t xml:space="preserve"> </w:t>
      </w:r>
      <w:r>
        <w:t xml:space="preserve">decisions at the point of service delivery. By contrast, the Charter sees human rights as starting with you and the public policy decisions you and your team make </w:t>
      </w:r>
      <w:r>
        <w:rPr>
          <w:i/>
          <w:iCs/>
        </w:rPr>
        <w:t>today</w:t>
      </w:r>
      <w:r>
        <w:t xml:space="preserve">. </w:t>
      </w:r>
    </w:p>
    <w:p w14:paraId="3EE098C4" w14:textId="20B60B59" w:rsidR="00092F77" w:rsidRDefault="00092F77" w:rsidP="00092F77">
      <w:r>
        <w:t xml:space="preserve">Therefore, it is crucial to </w:t>
      </w:r>
      <w:r w:rsidRPr="00FE6BEC">
        <w:rPr>
          <w:b/>
          <w:bCs/>
        </w:rPr>
        <w:t>forecast</w:t>
      </w:r>
      <w:r>
        <w:t xml:space="preserve"> how the decisions you are making today, or perhaps choosing not to make, will have their impacts on consumers, and families, carers, and supporters. </w:t>
      </w:r>
      <w:r w:rsidR="001B2E98">
        <w:t>You</w:t>
      </w:r>
      <w:r w:rsidR="008832FC">
        <w:t>r work</w:t>
      </w:r>
      <w:r>
        <w:t xml:space="preserve"> may also impact those who are</w:t>
      </w:r>
      <w:r w:rsidR="001B2E98">
        <w:t xml:space="preserve"> not</w:t>
      </w:r>
      <w:r>
        <w:t xml:space="preserve"> currently accessing the system, </w:t>
      </w:r>
      <w:r w:rsidR="008832FC">
        <w:t>and</w:t>
      </w:r>
      <w:r>
        <w:t xml:space="preserve"> who want support but cannot get equitable access to it. To do that </w:t>
      </w:r>
      <w:r w:rsidRPr="00B921C7">
        <w:rPr>
          <w:i/>
          <w:iCs/>
        </w:rPr>
        <w:t>forecasting</w:t>
      </w:r>
      <w:r>
        <w:t xml:space="preserve">, you should consider two </w:t>
      </w:r>
      <w:r w:rsidR="008832FC">
        <w:t>key questions</w:t>
      </w:r>
      <w:r>
        <w:t>.</w:t>
      </w:r>
    </w:p>
    <w:p w14:paraId="49517DC8" w14:textId="4751C77D" w:rsidR="00092F77" w:rsidRDefault="00EB6C36" w:rsidP="007D1C53">
      <w:pPr>
        <w:pStyle w:val="Heading2-report"/>
      </w:pPr>
      <w:r>
        <w:t>Question 1: Have we considered how</w:t>
      </w:r>
      <w:r w:rsidR="00715519">
        <w:t xml:space="preserve"> people at the end of </w:t>
      </w:r>
      <w:r w:rsidR="00E16800">
        <w:t>our</w:t>
      </w:r>
      <w:r w:rsidR="00715519">
        <w:t xml:space="preserve"> decisions or policy could be affected?</w:t>
      </w:r>
    </w:p>
    <w:p w14:paraId="56532EAE" w14:textId="4A6FAB51" w:rsidR="00092F77" w:rsidRDefault="00C6552D" w:rsidP="00092F77">
      <w:r>
        <w:t xml:space="preserve">In discussing </w:t>
      </w:r>
      <w:r w:rsidR="008B531E">
        <w:t>the Charter, the</w:t>
      </w:r>
      <w:r w:rsidR="00092F77">
        <w:t xml:space="preserve"> Victorian Ombudsman asks government </w:t>
      </w:r>
      <w:r w:rsidR="008B531E">
        <w:t xml:space="preserve">officials </w:t>
      </w:r>
      <w:r w:rsidR="00092F77">
        <w:t>to consider the person at the end of the</w:t>
      </w:r>
      <w:r w:rsidR="008B531E">
        <w:t>ir</w:t>
      </w:r>
      <w:r w:rsidR="00092F77">
        <w:t xml:space="preserve"> policy or decision.</w:t>
      </w:r>
      <w:r w:rsidR="00092F77" w:rsidRPr="00EB2274">
        <w:rPr>
          <w:rStyle w:val="FootnoteReference"/>
        </w:rPr>
        <w:footnoteReference w:id="18"/>
      </w:r>
      <w:r w:rsidR="00092F77">
        <w:t xml:space="preserve"> In the mental health context, it is likely that this </w:t>
      </w:r>
      <w:r w:rsidR="003C691D">
        <w:t xml:space="preserve">will </w:t>
      </w:r>
      <w:r w:rsidR="00092F77">
        <w:t>require you to consider what experiences this decision</w:t>
      </w:r>
      <w:r w:rsidR="00E13221">
        <w:t>,</w:t>
      </w:r>
      <w:r w:rsidR="00092F77">
        <w:t xml:space="preserve"> or non-decision</w:t>
      </w:r>
      <w:r w:rsidR="00E13221">
        <w:t>,</w:t>
      </w:r>
      <w:r w:rsidR="00092F77">
        <w:t xml:space="preserve"> </w:t>
      </w:r>
      <w:r w:rsidR="009D4D49">
        <w:t xml:space="preserve">will </w:t>
      </w:r>
      <w:r w:rsidR="00092F77">
        <w:t>contribute to for mental health consumers, and other people living with mental health issues or psychological distress, as well as their families, carers and supporters.</w:t>
      </w:r>
      <w:r w:rsidR="00422755">
        <w:t xml:space="preserve"> Some decisions will also have an impact on the workforce.</w:t>
      </w:r>
    </w:p>
    <w:p w14:paraId="090CD578" w14:textId="602DD2C2" w:rsidR="008B531E" w:rsidRPr="00D77C86" w:rsidRDefault="008B531E" w:rsidP="00092F77">
      <w:r>
        <w:t xml:space="preserve">Take the time to consider who is going to be </w:t>
      </w:r>
      <w:r w:rsidR="00E309E7">
        <w:t xml:space="preserve">affected </w:t>
      </w:r>
      <w:r>
        <w:t>by a policy or decision</w:t>
      </w:r>
      <w:r w:rsidR="00D77C86">
        <w:t xml:space="preserve">, including those </w:t>
      </w:r>
      <w:r w:rsidR="00D77C86">
        <w:rPr>
          <w:i/>
          <w:iCs/>
        </w:rPr>
        <w:t>most</w:t>
      </w:r>
      <w:r w:rsidR="00D77C86">
        <w:t xml:space="preserve"> </w:t>
      </w:r>
      <w:r w:rsidR="00E309E7">
        <w:t>affected</w:t>
      </w:r>
      <w:r w:rsidR="00D77C86">
        <w:t xml:space="preserve">. Though determining who is ‘most’ </w:t>
      </w:r>
      <w:r w:rsidR="00E309E7">
        <w:t xml:space="preserve">affected </w:t>
      </w:r>
      <w:r w:rsidR="00D77C86">
        <w:t>is difficult, you should turn your mind to whose human rights are likely to be engaged and/or limited.</w:t>
      </w:r>
    </w:p>
    <w:p w14:paraId="18A6FF14" w14:textId="77777777" w:rsidR="00CA6C6A" w:rsidRDefault="00CA6C6A">
      <w:r>
        <w:br w:type="page"/>
      </w:r>
    </w:p>
    <w:p w14:paraId="36F65EA8" w14:textId="515133E9" w:rsidR="00CA6C6A" w:rsidRDefault="00147EF1">
      <w:r w:rsidRPr="00FE6BEC">
        <w:rPr>
          <w:noProof/>
          <w:color w:val="FFFFFF" w:themeColor="background1"/>
        </w:rPr>
        <w:lastRenderedPageBreak/>
        <mc:AlternateContent>
          <mc:Choice Requires="wps">
            <w:drawing>
              <wp:anchor distT="0" distB="0" distL="114300" distR="114300" simplePos="0" relativeHeight="251658240" behindDoc="1" locked="0" layoutInCell="1" allowOverlap="1" wp14:anchorId="4BB01CDE" wp14:editId="33415D18">
                <wp:simplePos x="0" y="0"/>
                <wp:positionH relativeFrom="page">
                  <wp:align>left</wp:align>
                </wp:positionH>
                <wp:positionV relativeFrom="paragraph">
                  <wp:posOffset>-1080135</wp:posOffset>
                </wp:positionV>
                <wp:extent cx="7661564" cy="10664190"/>
                <wp:effectExtent l="0" t="0" r="15875" b="22860"/>
                <wp:wrapNone/>
                <wp:docPr id="193" name="Rectangle 193"/>
                <wp:cNvGraphicFramePr/>
                <a:graphic xmlns:a="http://schemas.openxmlformats.org/drawingml/2006/main">
                  <a:graphicData uri="http://schemas.microsoft.com/office/word/2010/wordprocessingShape">
                    <wps:wsp>
                      <wps:cNvSpPr/>
                      <wps:spPr>
                        <a:xfrm>
                          <a:off x="0" y="0"/>
                          <a:ext cx="7661564" cy="10664190"/>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F995D11" id="Rectangle 193" o:spid="_x0000_s1026" style="position:absolute;margin-left:0;margin-top:-85.05pt;width:603.25pt;height:839.7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" fillcolor="#201547" strokecolor="#201547" strokeweight="1pt">
                <w10:wrap anchorx="page"/>
              </v:rect>
            </w:pict>
          </mc:Fallback>
        </mc:AlternateContent>
      </w:r>
      <w:r w:rsidR="00CA6C6A" w:rsidRPr="00FE6BEC">
        <w:rPr>
          <w:b/>
          <w:bCs/>
          <w:noProof/>
          <w:color w:val="FFFFFF" w:themeColor="background1"/>
          <w:sz w:val="26"/>
          <w:szCs w:val="26"/>
        </w:rPr>
        <w:drawing>
          <wp:anchor distT="0" distB="0" distL="114300" distR="114300" simplePos="0" relativeHeight="251658242" behindDoc="0" locked="0" layoutInCell="1" allowOverlap="1" wp14:anchorId="5301FF94" wp14:editId="123273AB">
            <wp:simplePos x="0" y="0"/>
            <wp:positionH relativeFrom="margin">
              <wp:posOffset>-168910</wp:posOffset>
            </wp:positionH>
            <wp:positionV relativeFrom="paragraph">
              <wp:posOffset>-419100</wp:posOffset>
            </wp:positionV>
            <wp:extent cx="914400" cy="914400"/>
            <wp:effectExtent l="0" t="0" r="0" b="0"/>
            <wp:wrapNone/>
            <wp:docPr id="195" name="Graphic 195"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Raised hand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p>
    <w:p w14:paraId="774B4F2F" w14:textId="3BDDD6EA" w:rsidR="00CA6C6A" w:rsidRPr="00FE6BEC" w:rsidRDefault="00CA6C6A">
      <w:pPr>
        <w:rPr>
          <w:color w:val="FFFFFF" w:themeColor="background1"/>
        </w:rPr>
      </w:pPr>
    </w:p>
    <w:p w14:paraId="303A7B91" w14:textId="77777777" w:rsidR="00CA6C6A" w:rsidRPr="000616E7" w:rsidRDefault="00CA6C6A" w:rsidP="00CA6C6A">
      <w:pPr>
        <w:pStyle w:val="Heading2-report"/>
        <w:rPr>
          <w:color w:val="FFFFFF" w:themeColor="background1"/>
          <w:sz w:val="72"/>
          <w:szCs w:val="72"/>
        </w:rPr>
      </w:pPr>
      <w:r>
        <w:rPr>
          <w:color w:val="FFFFFF" w:themeColor="background1"/>
          <w:sz w:val="72"/>
          <w:szCs w:val="72"/>
        </w:rPr>
        <w:t>Policy example</w:t>
      </w:r>
    </w:p>
    <w:p w14:paraId="286956B6" w14:textId="77777777" w:rsidR="00CA6C6A" w:rsidRPr="0099014A" w:rsidRDefault="00CA6C6A" w:rsidP="00CA6C6A">
      <w:pPr>
        <w:pStyle w:val="Heading2-report"/>
        <w:rPr>
          <w:color w:val="FFFFFF" w:themeColor="background1"/>
          <w:sz w:val="26"/>
          <w:szCs w:val="26"/>
        </w:rPr>
      </w:pPr>
      <w:r>
        <w:rPr>
          <w:color w:val="FFFFFF" w:themeColor="background1"/>
          <w:sz w:val="26"/>
          <w:szCs w:val="26"/>
        </w:rPr>
        <w:t>WOMEN AND GENDER DIVERSE VICTORIANS IN MENTAL HEALTH FACILITIES</w:t>
      </w:r>
    </w:p>
    <w:p w14:paraId="61C83BB5" w14:textId="4AA2F88A" w:rsidR="00585D8F" w:rsidRDefault="0099014A" w:rsidP="0099014A">
      <w:pPr>
        <w:rPr>
          <w:color w:val="FFFFFF" w:themeColor="background1"/>
        </w:rPr>
      </w:pPr>
      <w:r w:rsidRPr="00FE6BEC">
        <w:rPr>
          <w:color w:val="FFFFFF" w:themeColor="background1"/>
        </w:rPr>
        <w:t>Women in Victoria’s mental health facilities experience significant gender-based violence.</w:t>
      </w:r>
      <w:r w:rsidRPr="00EB2274">
        <w:rPr>
          <w:rStyle w:val="FootnoteReference"/>
        </w:rPr>
        <w:footnoteReference w:id="19"/>
      </w:r>
      <w:r w:rsidR="0099322B" w:rsidRPr="00936196">
        <w:rPr>
          <w:color w:val="FFFFFF" w:themeColor="background1"/>
        </w:rPr>
        <w:t xml:space="preserve"> </w:t>
      </w:r>
      <w:r>
        <w:rPr>
          <w:color w:val="FFFFFF" w:themeColor="background1"/>
        </w:rPr>
        <w:t xml:space="preserve">Using the </w:t>
      </w:r>
      <w:r>
        <w:rPr>
          <w:b/>
          <w:bCs/>
          <w:i/>
          <w:iCs/>
          <w:color w:val="FFFFFF" w:themeColor="background1"/>
        </w:rPr>
        <w:t>forecast</w:t>
      </w:r>
      <w:r>
        <w:rPr>
          <w:b/>
          <w:bCs/>
          <w:color w:val="FFFFFF" w:themeColor="background1"/>
        </w:rPr>
        <w:t xml:space="preserve">, assess, </w:t>
      </w:r>
      <w:r>
        <w:rPr>
          <w:color w:val="FFFFFF" w:themeColor="background1"/>
        </w:rPr>
        <w:t xml:space="preserve">and </w:t>
      </w:r>
      <w:r>
        <w:rPr>
          <w:b/>
          <w:bCs/>
          <w:i/>
          <w:iCs/>
          <w:color w:val="FFFFFF" w:themeColor="background1"/>
        </w:rPr>
        <w:t>decide</w:t>
      </w:r>
      <w:r>
        <w:rPr>
          <w:color w:val="FFFFFF" w:themeColor="background1"/>
        </w:rPr>
        <w:t xml:space="preserve"> approach to human rights can enable better and safer spaces for</w:t>
      </w:r>
      <w:r w:rsidR="00585D8F">
        <w:rPr>
          <w:color w:val="FFFFFF" w:themeColor="background1"/>
        </w:rPr>
        <w:t xml:space="preserve"> women and gender diverse Victorians. This could emerge in the reform of bed-based mental health services.</w:t>
      </w:r>
    </w:p>
    <w:p w14:paraId="4CF768D2" w14:textId="0E507851" w:rsidR="00356F28" w:rsidRPr="00356F28" w:rsidRDefault="00585D8F" w:rsidP="00356F28">
      <w:pPr>
        <w:pStyle w:val="Heading3-report"/>
        <w:rPr>
          <w:color w:val="FFFFFF" w:themeColor="background1"/>
        </w:rPr>
      </w:pPr>
      <w:r w:rsidRPr="00C97C71">
        <w:rPr>
          <w:color w:val="FFFFFF" w:themeColor="background1"/>
        </w:rPr>
        <w:t>Forecast</w:t>
      </w:r>
    </w:p>
    <w:p w14:paraId="7664AC2E" w14:textId="62D468EE" w:rsidR="0099014A" w:rsidRDefault="00585D8F" w:rsidP="00585D8F">
      <w:pPr>
        <w:rPr>
          <w:color w:val="FFFFFF" w:themeColor="background1"/>
        </w:rPr>
      </w:pPr>
      <w:r>
        <w:rPr>
          <w:color w:val="FFFFFF" w:themeColor="background1"/>
        </w:rPr>
        <w:t xml:space="preserve">The reform of bed-based services will ultimately result in the continuance, improving or worsening of inpatient care for consumers. </w:t>
      </w:r>
      <w:r w:rsidR="00FD4AF8">
        <w:rPr>
          <w:color w:val="FFFFFF" w:themeColor="background1"/>
        </w:rPr>
        <w:t xml:space="preserve">The context for mental health consumers </w:t>
      </w:r>
      <w:r w:rsidR="00286819">
        <w:rPr>
          <w:color w:val="FFFFFF" w:themeColor="background1"/>
        </w:rPr>
        <w:t xml:space="preserve">in </w:t>
      </w:r>
      <w:r w:rsidR="00A27074">
        <w:rPr>
          <w:color w:val="FFFFFF" w:themeColor="background1"/>
        </w:rPr>
        <w:t>inpatient units</w:t>
      </w:r>
      <w:r w:rsidR="00EB715B">
        <w:rPr>
          <w:color w:val="FFFFFF" w:themeColor="background1"/>
        </w:rPr>
        <w:t xml:space="preserve"> </w:t>
      </w:r>
      <w:r w:rsidR="00FD4AF8">
        <w:rPr>
          <w:color w:val="FFFFFF" w:themeColor="background1"/>
        </w:rPr>
        <w:t xml:space="preserve">is that they are at risk of significant violence within </w:t>
      </w:r>
      <w:r w:rsidR="00A27074">
        <w:rPr>
          <w:color w:val="FFFFFF" w:themeColor="background1"/>
        </w:rPr>
        <w:t>the</w:t>
      </w:r>
      <w:r w:rsidR="00FD4AF8">
        <w:rPr>
          <w:color w:val="FFFFFF" w:themeColor="background1"/>
        </w:rPr>
        <w:t xml:space="preserve"> units</w:t>
      </w:r>
      <w:r w:rsidR="00974956">
        <w:rPr>
          <w:color w:val="FFFFFF" w:themeColor="background1"/>
        </w:rPr>
        <w:t>. Mental health consumers</w:t>
      </w:r>
      <w:r w:rsidR="00E32138">
        <w:rPr>
          <w:color w:val="FFFFFF" w:themeColor="background1"/>
        </w:rPr>
        <w:t xml:space="preserve"> in these settings</w:t>
      </w:r>
      <w:r w:rsidR="00974956">
        <w:rPr>
          <w:color w:val="FFFFFF" w:themeColor="background1"/>
        </w:rPr>
        <w:t xml:space="preserve"> also experience </w:t>
      </w:r>
      <w:r w:rsidR="00FD4AF8">
        <w:rPr>
          <w:color w:val="FFFFFF" w:themeColor="background1"/>
        </w:rPr>
        <w:t>a great deal of control and powerlessness as a result of the system.</w:t>
      </w:r>
      <w:r w:rsidR="00227FB0">
        <w:rPr>
          <w:color w:val="FFFFFF" w:themeColor="background1"/>
        </w:rPr>
        <w:t xml:space="preserve"> Consumer lived experience experts who have had admissions can speak to these issues</w:t>
      </w:r>
      <w:r w:rsidR="00BF60BD">
        <w:rPr>
          <w:color w:val="FFFFFF" w:themeColor="background1"/>
        </w:rPr>
        <w:t xml:space="preserve"> in great detail.</w:t>
      </w:r>
    </w:p>
    <w:p w14:paraId="73110A00" w14:textId="09CA524C" w:rsidR="00BF60BD" w:rsidRPr="00C97C71" w:rsidRDefault="00BF60BD" w:rsidP="00585D8F">
      <w:pPr>
        <w:rPr>
          <w:color w:val="FFFFFF" w:themeColor="background1"/>
        </w:rPr>
      </w:pPr>
      <w:r>
        <w:rPr>
          <w:color w:val="FFFFFF" w:themeColor="background1"/>
        </w:rPr>
        <w:t xml:space="preserve">Decisions about how a policy is designed and implemented – for example the involvement of consumer workers within services – </w:t>
      </w:r>
      <w:r w:rsidR="00A27308">
        <w:rPr>
          <w:color w:val="FFFFFF" w:themeColor="background1"/>
        </w:rPr>
        <w:t>can influence</w:t>
      </w:r>
      <w:r>
        <w:rPr>
          <w:color w:val="FFFFFF" w:themeColor="background1"/>
        </w:rPr>
        <w:t xml:space="preserve"> whether both safety </w:t>
      </w:r>
      <w:r>
        <w:rPr>
          <w:i/>
          <w:iCs/>
          <w:color w:val="FFFFFF" w:themeColor="background1"/>
        </w:rPr>
        <w:t xml:space="preserve">and </w:t>
      </w:r>
      <w:r>
        <w:rPr>
          <w:color w:val="FFFFFF" w:themeColor="background1"/>
        </w:rPr>
        <w:t xml:space="preserve">powerlessness are </w:t>
      </w:r>
      <w:r w:rsidR="005D590D">
        <w:rPr>
          <w:color w:val="FFFFFF" w:themeColor="background1"/>
        </w:rPr>
        <w:t xml:space="preserve">addressed. </w:t>
      </w:r>
      <w:r w:rsidR="00872F9E">
        <w:rPr>
          <w:color w:val="FFFFFF" w:themeColor="background1"/>
        </w:rPr>
        <w:t>Many mental health workers and leaders express doubt about power imbalances.</w:t>
      </w:r>
      <w:r w:rsidR="00356F28" w:rsidRPr="00EB2274">
        <w:rPr>
          <w:rStyle w:val="FootnoteReference"/>
        </w:rPr>
        <w:footnoteReference w:id="20"/>
      </w:r>
    </w:p>
    <w:p w14:paraId="42F61219" w14:textId="4C8EA97D" w:rsidR="00356F28" w:rsidRDefault="00356F28" w:rsidP="00356F28">
      <w:pPr>
        <w:pStyle w:val="Heading3-report"/>
        <w:rPr>
          <w:color w:val="FFFFFF" w:themeColor="background1"/>
        </w:rPr>
      </w:pPr>
      <w:r>
        <w:rPr>
          <w:color w:val="FFFFFF" w:themeColor="background1"/>
        </w:rPr>
        <w:t>Assess</w:t>
      </w:r>
    </w:p>
    <w:p w14:paraId="464DA1BE" w14:textId="09A3A306" w:rsidR="0099014A" w:rsidRDefault="00356F28" w:rsidP="0099014A">
      <w:pPr>
        <w:rPr>
          <w:color w:val="FFFFFF" w:themeColor="background1"/>
        </w:rPr>
      </w:pPr>
      <w:r>
        <w:rPr>
          <w:color w:val="FFFFFF" w:themeColor="background1"/>
        </w:rPr>
        <w:t>There have been significant human rights breaches resulting from gender-based violence in mental health settings.</w:t>
      </w:r>
      <w:r w:rsidR="0099014A" w:rsidRPr="00C97C71">
        <w:rPr>
          <w:color w:val="FFFFFF" w:themeColor="background1"/>
        </w:rPr>
        <w:t xml:space="preserve"> Experiences of sexual assault and other gender-based violence within the context of detention breaches a range of human rights, including the right to security of person and humane treatment when deprived of liberty (sections 21 and 22). Forcing women and gender-diverse people to access care in unsafe environments and/or environments not designed to support their safety also raises the right to equality (section 8). The responses to the risk of these events though, can also breach human rights if they unduly limit other rights of women and gender</w:t>
      </w:r>
      <w:r w:rsidR="0070718A">
        <w:rPr>
          <w:color w:val="FFFFFF" w:themeColor="background1"/>
        </w:rPr>
        <w:t>-</w:t>
      </w:r>
      <w:r w:rsidR="0099014A" w:rsidRPr="00C97C71">
        <w:rPr>
          <w:color w:val="FFFFFF" w:themeColor="background1"/>
        </w:rPr>
        <w:t xml:space="preserve">diverse people, such as security conditions that place further restrictions on movement or contact with family and friends, blanket restrictions on the use of facilities by sex (in a way that restricts the rights of trans women </w:t>
      </w:r>
      <w:r w:rsidR="002F5447" w:rsidRPr="00C97C71">
        <w:rPr>
          <w:noProof/>
          <w:color w:val="FFFFFF" w:themeColor="background1"/>
        </w:rPr>
        <w:lastRenderedPageBreak/>
        <mc:AlternateContent>
          <mc:Choice Requires="wps">
            <w:drawing>
              <wp:anchor distT="0" distB="0" distL="114300" distR="114300" simplePos="0" relativeHeight="251658243" behindDoc="1" locked="0" layoutInCell="1" allowOverlap="1" wp14:anchorId="54B76520" wp14:editId="6496FC39">
                <wp:simplePos x="0" y="0"/>
                <wp:positionH relativeFrom="page">
                  <wp:align>left</wp:align>
                </wp:positionH>
                <wp:positionV relativeFrom="paragraph">
                  <wp:posOffset>-1077595</wp:posOffset>
                </wp:positionV>
                <wp:extent cx="7633855" cy="10664190"/>
                <wp:effectExtent l="0" t="0" r="24765" b="22860"/>
                <wp:wrapNone/>
                <wp:docPr id="201" name="Rectangle 201"/>
                <wp:cNvGraphicFramePr/>
                <a:graphic xmlns:a="http://schemas.openxmlformats.org/drawingml/2006/main">
                  <a:graphicData uri="http://schemas.microsoft.com/office/word/2010/wordprocessingShape">
                    <wps:wsp>
                      <wps:cNvSpPr/>
                      <wps:spPr>
                        <a:xfrm>
                          <a:off x="0" y="0"/>
                          <a:ext cx="7633855" cy="10664190"/>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BF1DD3D" id="Rectangle 201" o:spid="_x0000_s1026" style="position:absolute;margin-left:0;margin-top:-84.85pt;width:601.1pt;height:839.7pt;z-index:-25165823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" fillcolor="#201547" strokecolor="#201547" strokeweight="1pt">
                <w10:wrap anchorx="page"/>
              </v:rect>
            </w:pict>
          </mc:Fallback>
        </mc:AlternateContent>
      </w:r>
      <w:r w:rsidR="0099014A" w:rsidRPr="00C97C71">
        <w:rPr>
          <w:color w:val="FFFFFF" w:themeColor="background1"/>
        </w:rPr>
        <w:t>and gender</w:t>
      </w:r>
      <w:r w:rsidR="005D3D0F">
        <w:rPr>
          <w:color w:val="FFFFFF" w:themeColor="background1"/>
        </w:rPr>
        <w:t>-</w:t>
      </w:r>
      <w:r w:rsidR="0099014A" w:rsidRPr="00C97C71">
        <w:rPr>
          <w:color w:val="FFFFFF" w:themeColor="background1"/>
        </w:rPr>
        <w:t>diverse people), or blanket bans on consensual sexual intercourse within inpatient units.</w:t>
      </w:r>
      <w:r w:rsidR="0099014A" w:rsidRPr="00EB2274">
        <w:rPr>
          <w:rStyle w:val="FootnoteReference"/>
        </w:rPr>
        <w:footnoteReference w:id="21"/>
      </w:r>
    </w:p>
    <w:p w14:paraId="4B37B17C" w14:textId="475A5546" w:rsidR="009032F8" w:rsidRDefault="009032F8" w:rsidP="009032F8">
      <w:pPr>
        <w:pStyle w:val="Heading3-report"/>
        <w:rPr>
          <w:color w:val="FFFFFF" w:themeColor="background1"/>
        </w:rPr>
      </w:pPr>
      <w:r>
        <w:rPr>
          <w:color w:val="FFFFFF" w:themeColor="background1"/>
        </w:rPr>
        <w:t>Decide</w:t>
      </w:r>
    </w:p>
    <w:p w14:paraId="0B4DEF6A" w14:textId="77777777" w:rsidR="00DD509B" w:rsidRDefault="00515E27" w:rsidP="009032F8">
      <w:pPr>
        <w:rPr>
          <w:color w:val="FFFFFF" w:themeColor="background1"/>
        </w:rPr>
      </w:pPr>
      <w:r>
        <w:rPr>
          <w:color w:val="FFFFFF" w:themeColor="background1"/>
        </w:rPr>
        <w:t>Proposed policy decisions</w:t>
      </w:r>
      <w:r w:rsidR="00DD509B">
        <w:rPr>
          <w:color w:val="FFFFFF" w:themeColor="background1"/>
        </w:rPr>
        <w:t xml:space="preserve"> may need to consider the following:</w:t>
      </w:r>
    </w:p>
    <w:p w14:paraId="74AFE8E7" w14:textId="5C485B1B" w:rsidR="009032F8" w:rsidRDefault="00DD509B" w:rsidP="00E225B4">
      <w:pPr>
        <w:pStyle w:val="ListParagraph"/>
        <w:numPr>
          <w:ilvl w:val="0"/>
          <w:numId w:val="45"/>
        </w:numPr>
        <w:rPr>
          <w:color w:val="FFFFFF" w:themeColor="background1"/>
        </w:rPr>
      </w:pPr>
      <w:r>
        <w:rPr>
          <w:color w:val="FFFFFF" w:themeColor="background1"/>
        </w:rPr>
        <w:t>the viability of continuing mixed-gender wards</w:t>
      </w:r>
      <w:r w:rsidR="00215F61">
        <w:rPr>
          <w:color w:val="FFFFFF" w:themeColor="background1"/>
        </w:rPr>
        <w:t xml:space="preserve"> for the risk of gender-based violence</w:t>
      </w:r>
      <w:r w:rsidR="008400E1">
        <w:rPr>
          <w:color w:val="FFFFFF" w:themeColor="background1"/>
        </w:rPr>
        <w:t xml:space="preserve"> while in detention</w:t>
      </w:r>
      <w:r w:rsidR="00215F61">
        <w:rPr>
          <w:color w:val="FFFFFF" w:themeColor="background1"/>
        </w:rPr>
        <w:t xml:space="preserve"> (sections 8, 21 and 22) </w:t>
      </w:r>
    </w:p>
    <w:p w14:paraId="134D7579" w14:textId="2867113A" w:rsidR="00DD509B" w:rsidRDefault="00DD509B" w:rsidP="00E225B4">
      <w:pPr>
        <w:pStyle w:val="ListParagraph"/>
        <w:numPr>
          <w:ilvl w:val="0"/>
          <w:numId w:val="45"/>
        </w:numPr>
        <w:rPr>
          <w:color w:val="FFFFFF" w:themeColor="background1"/>
        </w:rPr>
      </w:pPr>
      <w:r>
        <w:rPr>
          <w:color w:val="FFFFFF" w:themeColor="background1"/>
        </w:rPr>
        <w:t xml:space="preserve">the design of </w:t>
      </w:r>
      <w:r w:rsidR="00C329F3">
        <w:rPr>
          <w:color w:val="FFFFFF" w:themeColor="background1"/>
        </w:rPr>
        <w:t>reforms to high-dependency units to enable gender-based segregation</w:t>
      </w:r>
      <w:r w:rsidR="00A52069">
        <w:rPr>
          <w:color w:val="FFFFFF" w:themeColor="background1"/>
        </w:rPr>
        <w:t>, which may impact freedom of movement (section 1</w:t>
      </w:r>
      <w:r w:rsidR="000C49E6">
        <w:rPr>
          <w:color w:val="FFFFFF" w:themeColor="background1"/>
        </w:rPr>
        <w:t>2</w:t>
      </w:r>
      <w:r w:rsidR="00A52069">
        <w:rPr>
          <w:color w:val="FFFFFF" w:themeColor="background1"/>
        </w:rPr>
        <w:t>)</w:t>
      </w:r>
    </w:p>
    <w:p w14:paraId="1BF26C61" w14:textId="31B66F47" w:rsidR="00C329F3" w:rsidRDefault="00C329F3" w:rsidP="00E225B4">
      <w:pPr>
        <w:pStyle w:val="ListParagraph"/>
        <w:numPr>
          <w:ilvl w:val="0"/>
          <w:numId w:val="45"/>
        </w:numPr>
        <w:rPr>
          <w:color w:val="FFFFFF" w:themeColor="background1"/>
        </w:rPr>
      </w:pPr>
      <w:r>
        <w:rPr>
          <w:color w:val="FFFFFF" w:themeColor="background1"/>
        </w:rPr>
        <w:t xml:space="preserve">the staffing requirements, including the use of specialist peer workers and trauma-counsellors, in addressing experiences of gender-based </w:t>
      </w:r>
      <w:r w:rsidR="00E54E21">
        <w:rPr>
          <w:color w:val="FFFFFF" w:themeColor="background1"/>
        </w:rPr>
        <w:t>violence</w:t>
      </w:r>
      <w:r w:rsidR="008400E1">
        <w:rPr>
          <w:color w:val="FFFFFF" w:themeColor="background1"/>
        </w:rPr>
        <w:t xml:space="preserve">, meaning trauma survivors should </w:t>
      </w:r>
      <w:r w:rsidR="007F6F09">
        <w:rPr>
          <w:color w:val="FFFFFF" w:themeColor="background1"/>
        </w:rPr>
        <w:t>get an equal standard of care to others</w:t>
      </w:r>
      <w:r w:rsidR="00215F61">
        <w:rPr>
          <w:color w:val="FFFFFF" w:themeColor="background1"/>
        </w:rPr>
        <w:t xml:space="preserve"> (</w:t>
      </w:r>
      <w:r w:rsidR="007F6F09">
        <w:rPr>
          <w:color w:val="FFFFFF" w:themeColor="background1"/>
        </w:rPr>
        <w:t>section 8)</w:t>
      </w:r>
    </w:p>
    <w:p w14:paraId="7E01993E" w14:textId="4E396782" w:rsidR="00E54E21" w:rsidRDefault="00E54E21" w:rsidP="00E225B4">
      <w:pPr>
        <w:pStyle w:val="ListParagraph"/>
        <w:numPr>
          <w:ilvl w:val="0"/>
          <w:numId w:val="45"/>
        </w:numPr>
        <w:rPr>
          <w:color w:val="FFFFFF" w:themeColor="background1"/>
        </w:rPr>
      </w:pPr>
      <w:r>
        <w:rPr>
          <w:color w:val="FFFFFF" w:themeColor="background1"/>
        </w:rPr>
        <w:t>the internal decision-making processes for when and how accommodations are made to ensure safety on inpatient units</w:t>
      </w:r>
      <w:r w:rsidR="007F6F09">
        <w:rPr>
          <w:color w:val="FFFFFF" w:themeColor="background1"/>
        </w:rPr>
        <w:t xml:space="preserve"> so that any restrictions on liberty made by the service or authorised psychiatrist are lawful (section 21(3))</w:t>
      </w:r>
    </w:p>
    <w:p w14:paraId="50A8FF05" w14:textId="5A242317" w:rsidR="0057632B" w:rsidRDefault="0057632B" w:rsidP="00E225B4">
      <w:pPr>
        <w:pStyle w:val="ListParagraph"/>
        <w:numPr>
          <w:ilvl w:val="0"/>
          <w:numId w:val="45"/>
        </w:numPr>
        <w:rPr>
          <w:color w:val="FFFFFF" w:themeColor="background1"/>
        </w:rPr>
      </w:pPr>
      <w:r>
        <w:rPr>
          <w:color w:val="FFFFFF" w:themeColor="background1"/>
        </w:rPr>
        <w:t>the viability of locked wards when considering experiences of gender-based violence and experiences of power and control within mental health inpatient units</w:t>
      </w:r>
      <w:r w:rsidR="007F6F09">
        <w:rPr>
          <w:color w:val="FFFFFF" w:themeColor="background1"/>
        </w:rPr>
        <w:t xml:space="preserve"> (sections 12 and 22)</w:t>
      </w:r>
      <w:r>
        <w:rPr>
          <w:color w:val="FFFFFF" w:themeColor="background1"/>
        </w:rPr>
        <w:t>.</w:t>
      </w:r>
    </w:p>
    <w:p w14:paraId="6C64BC2E" w14:textId="26B0C5F0" w:rsidR="0057632B" w:rsidRDefault="007A3F94" w:rsidP="0057632B">
      <w:pPr>
        <w:rPr>
          <w:color w:val="FFFFFF" w:themeColor="background1"/>
        </w:rPr>
      </w:pPr>
      <w:r>
        <w:rPr>
          <w:color w:val="FFFFFF" w:themeColor="background1"/>
        </w:rPr>
        <w:t>There will be opportunities to promote the liste</w:t>
      </w:r>
      <w:r w:rsidR="0015196A">
        <w:rPr>
          <w:color w:val="FFFFFF" w:themeColor="background1"/>
        </w:rPr>
        <w:t>d rights. Beyond this, d</w:t>
      </w:r>
      <w:r w:rsidR="0057632B">
        <w:rPr>
          <w:color w:val="FFFFFF" w:themeColor="background1"/>
        </w:rPr>
        <w:t xml:space="preserve">ecision-makers will need to assess whether </w:t>
      </w:r>
      <w:r w:rsidR="007F6F09">
        <w:rPr>
          <w:color w:val="FFFFFF" w:themeColor="background1"/>
        </w:rPr>
        <w:t xml:space="preserve">any limitations on these </w:t>
      </w:r>
      <w:r w:rsidR="0015196A">
        <w:rPr>
          <w:color w:val="FFFFFF" w:themeColor="background1"/>
        </w:rPr>
        <w:t xml:space="preserve">and other </w:t>
      </w:r>
      <w:r w:rsidR="007F6F09">
        <w:rPr>
          <w:color w:val="FFFFFF" w:themeColor="background1"/>
        </w:rPr>
        <w:t>rights that</w:t>
      </w:r>
      <w:r w:rsidR="0015196A">
        <w:rPr>
          <w:color w:val="FFFFFF" w:themeColor="background1"/>
        </w:rPr>
        <w:t xml:space="preserve"> are proposed</w:t>
      </w:r>
      <w:r w:rsidR="007F6F09">
        <w:rPr>
          <w:color w:val="FFFFFF" w:themeColor="background1"/>
        </w:rPr>
        <w:t xml:space="preserve"> are justifiable. Decision-makers should work closely with lived experience advisors to identify less restrictive ways to provide quality mental health care in bed-based services.</w:t>
      </w:r>
    </w:p>
    <w:p w14:paraId="24D4FFBF" w14:textId="2B83157D" w:rsidR="000A7E52" w:rsidRPr="00C97C71" w:rsidRDefault="000A7E52" w:rsidP="00C97C71">
      <w:pPr>
        <w:rPr>
          <w:color w:val="FFFFFF" w:themeColor="background1"/>
        </w:rPr>
      </w:pPr>
      <w:r>
        <w:rPr>
          <w:color w:val="FFFFFF" w:themeColor="background1"/>
        </w:rPr>
        <w:t>These are complex issues, meaning the Department will want to show how it has arrived at any decision. Importantly it will need to show how it has balanced rights</w:t>
      </w:r>
      <w:r w:rsidR="005E56BC">
        <w:rPr>
          <w:color w:val="FFFFFF" w:themeColor="background1"/>
        </w:rPr>
        <w:t xml:space="preserve"> in coming to its decision.</w:t>
      </w:r>
    </w:p>
    <w:p w14:paraId="40468A3E" w14:textId="77777777" w:rsidR="009032F8" w:rsidRDefault="009032F8" w:rsidP="0099014A">
      <w:pPr>
        <w:rPr>
          <w:color w:val="FFFFFF" w:themeColor="background1"/>
        </w:rPr>
      </w:pPr>
    </w:p>
    <w:p w14:paraId="3C6D1BD8" w14:textId="77777777" w:rsidR="009032F8" w:rsidRPr="00C97C71" w:rsidRDefault="009032F8" w:rsidP="00705BED">
      <w:pPr>
        <w:rPr>
          <w:color w:val="FFFFFF" w:themeColor="background1"/>
        </w:rPr>
      </w:pPr>
    </w:p>
    <w:p w14:paraId="0981A6E3" w14:textId="12F920FB" w:rsidR="007F2D9A" w:rsidRDefault="007F2D9A" w:rsidP="00CA6C6A">
      <w:r>
        <w:br w:type="page"/>
      </w:r>
    </w:p>
    <w:p w14:paraId="7A0C1BDB" w14:textId="6019EB1B" w:rsidR="00E212CD" w:rsidRDefault="00166887" w:rsidP="007D1C53">
      <w:pPr>
        <w:pStyle w:val="Heading2-report"/>
      </w:pPr>
      <w:r w:rsidRPr="00FE6BEC">
        <w:rPr>
          <w:noProof/>
          <w:color w:val="FFFFFF" w:themeColor="background1"/>
        </w:rPr>
        <w:lastRenderedPageBreak/>
        <mc:AlternateContent>
          <mc:Choice Requires="wps">
            <w:drawing>
              <wp:anchor distT="0" distB="0" distL="114300" distR="114300" simplePos="0" relativeHeight="251658266" behindDoc="1" locked="0" layoutInCell="1" allowOverlap="1" wp14:anchorId="1D180DA5" wp14:editId="3226070B">
                <wp:simplePos x="0" y="0"/>
                <wp:positionH relativeFrom="page">
                  <wp:posOffset>-977900</wp:posOffset>
                </wp:positionH>
                <wp:positionV relativeFrom="paragraph">
                  <wp:posOffset>-1473835</wp:posOffset>
                </wp:positionV>
                <wp:extent cx="8801100" cy="11286490"/>
                <wp:effectExtent l="0" t="0" r="19050" b="10160"/>
                <wp:wrapNone/>
                <wp:docPr id="776343819" name="Rectangle 776343819"/>
                <wp:cNvGraphicFramePr/>
                <a:graphic xmlns:a="http://schemas.openxmlformats.org/drawingml/2006/main">
                  <a:graphicData uri="http://schemas.microsoft.com/office/word/2010/wordprocessingShape">
                    <wps:wsp>
                      <wps:cNvSpPr/>
                      <wps:spPr>
                        <a:xfrm>
                          <a:off x="0" y="0"/>
                          <a:ext cx="8801100" cy="11286490"/>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B73CEB" id="Rectangle 776343819" o:spid="_x0000_s1026" style="position:absolute;margin-left:-77pt;margin-top:-116.05pt;width:693pt;height:888.7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" fillcolor="#201547" strokecolor="#201547" strokeweight="1pt">
                <w10:wrap anchorx="page"/>
              </v:rect>
            </w:pict>
          </mc:Fallback>
        </mc:AlternateContent>
      </w:r>
      <w:r w:rsidR="004F1C88" w:rsidRPr="00FE6BEC">
        <w:rPr>
          <w:b w:val="0"/>
          <w:bCs w:val="0"/>
          <w:noProof/>
          <w:color w:val="FFFFFF" w:themeColor="background1"/>
          <w:sz w:val="26"/>
          <w:szCs w:val="26"/>
        </w:rPr>
        <w:drawing>
          <wp:anchor distT="0" distB="0" distL="114300" distR="114300" simplePos="0" relativeHeight="251658267" behindDoc="0" locked="0" layoutInCell="1" allowOverlap="1" wp14:anchorId="328F254A" wp14:editId="417C0120">
            <wp:simplePos x="0" y="0"/>
            <wp:positionH relativeFrom="margin">
              <wp:posOffset>-160020</wp:posOffset>
            </wp:positionH>
            <wp:positionV relativeFrom="paragraph">
              <wp:posOffset>-632460</wp:posOffset>
            </wp:positionV>
            <wp:extent cx="914400" cy="914400"/>
            <wp:effectExtent l="0" t="0" r="0" b="0"/>
            <wp:wrapNone/>
            <wp:docPr id="1648707124" name="Graphic 1648707124"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Raised hand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p>
    <w:p w14:paraId="4FE12FF6" w14:textId="77777777" w:rsidR="004F1C88" w:rsidRPr="000616E7" w:rsidRDefault="004F1C88" w:rsidP="004F1C88">
      <w:pPr>
        <w:pStyle w:val="Heading2-report"/>
        <w:rPr>
          <w:color w:val="FFFFFF" w:themeColor="background1"/>
          <w:sz w:val="72"/>
          <w:szCs w:val="72"/>
        </w:rPr>
      </w:pPr>
      <w:r>
        <w:rPr>
          <w:color w:val="FFFFFF" w:themeColor="background1"/>
          <w:sz w:val="72"/>
          <w:szCs w:val="72"/>
        </w:rPr>
        <w:t>Policy example</w:t>
      </w:r>
    </w:p>
    <w:p w14:paraId="42854849" w14:textId="77777777" w:rsidR="00166887" w:rsidRPr="00A2343E" w:rsidRDefault="00166887" w:rsidP="00166887">
      <w:pPr>
        <w:pStyle w:val="Heading2-report"/>
        <w:rPr>
          <w:color w:val="FFFFFF" w:themeColor="background1"/>
        </w:rPr>
      </w:pPr>
      <w:r w:rsidRPr="000616E7">
        <w:rPr>
          <w:color w:val="FFFFFF" w:themeColor="background1"/>
          <w:sz w:val="26"/>
          <w:szCs w:val="26"/>
        </w:rPr>
        <w:t>IMPROVING OUTCOMES AND MONITORING</w:t>
      </w:r>
      <w:r>
        <w:rPr>
          <w:color w:val="FFFFFF" w:themeColor="background1"/>
          <w:sz w:val="26"/>
          <w:szCs w:val="26"/>
        </w:rPr>
        <w:t xml:space="preserve"> </w:t>
      </w:r>
    </w:p>
    <w:p w14:paraId="0E330086" w14:textId="77777777" w:rsidR="00166887" w:rsidRPr="008040C2" w:rsidRDefault="00166887" w:rsidP="00166887">
      <w:pPr>
        <w:rPr>
          <w:color w:val="FFFFFF" w:themeColor="background1"/>
          <w:szCs w:val="24"/>
        </w:rPr>
      </w:pPr>
      <w:r w:rsidRPr="008040C2">
        <w:rPr>
          <w:color w:val="FFFFFF" w:themeColor="background1"/>
          <w:szCs w:val="24"/>
        </w:rPr>
        <w:t xml:space="preserve">Promoting human rights and the Charter can happen at any </w:t>
      </w:r>
      <w:r>
        <w:rPr>
          <w:color w:val="FFFFFF" w:themeColor="background1"/>
          <w:szCs w:val="24"/>
        </w:rPr>
        <w:t>stage</w:t>
      </w:r>
      <w:r w:rsidRPr="008040C2">
        <w:rPr>
          <w:color w:val="FFFFFF" w:themeColor="background1"/>
          <w:szCs w:val="24"/>
        </w:rPr>
        <w:t xml:space="preserve"> of system management or design, as it did with implementing recommendations 1 and 49 of the Royal Commission’s final report. In April 2022 the Outcomes and Evaluation team (</w:t>
      </w:r>
      <w:r w:rsidRPr="008040C2">
        <w:rPr>
          <w:b/>
          <w:bCs/>
          <w:color w:val="FFFFFF" w:themeColor="background1"/>
          <w:szCs w:val="24"/>
        </w:rPr>
        <w:t>Team</w:t>
      </w:r>
      <w:r w:rsidRPr="008040C2">
        <w:rPr>
          <w:color w:val="FFFFFF" w:themeColor="background1"/>
          <w:szCs w:val="24"/>
        </w:rPr>
        <w:t>) within the Transformation and Evidence Branch began working to implement these recommendations. The Team worked quickly to establish the ‘Lived Experience Engagement Panel’ (</w:t>
      </w:r>
      <w:r w:rsidRPr="008040C2">
        <w:rPr>
          <w:b/>
          <w:bCs/>
          <w:color w:val="FFFFFF" w:themeColor="background1"/>
          <w:szCs w:val="24"/>
        </w:rPr>
        <w:t>LEEP</w:t>
      </w:r>
      <w:r w:rsidRPr="008040C2">
        <w:rPr>
          <w:color w:val="FFFFFF" w:themeColor="background1"/>
          <w:szCs w:val="24"/>
        </w:rPr>
        <w:t xml:space="preserve">), with membership of </w:t>
      </w:r>
      <w:r>
        <w:rPr>
          <w:color w:val="FFFFFF" w:themeColor="background1"/>
          <w:szCs w:val="24"/>
        </w:rPr>
        <w:t>three</w:t>
      </w:r>
      <w:r w:rsidRPr="008040C2">
        <w:rPr>
          <w:color w:val="FFFFFF" w:themeColor="background1"/>
          <w:szCs w:val="24"/>
        </w:rPr>
        <w:t xml:space="preserve"> consumers and two carers, </w:t>
      </w:r>
      <w:r>
        <w:rPr>
          <w:color w:val="FFFFFF" w:themeColor="background1"/>
          <w:szCs w:val="24"/>
        </w:rPr>
        <w:t xml:space="preserve">to </w:t>
      </w:r>
      <w:r w:rsidRPr="008040C2">
        <w:rPr>
          <w:color w:val="FFFFFF" w:themeColor="background1"/>
          <w:szCs w:val="24"/>
        </w:rPr>
        <w:t>walk alongside and advise on the work. One of the first actions of the LEEP and the Team was to establish principles that would guide the project and decision making. These were:</w:t>
      </w:r>
    </w:p>
    <w:p w14:paraId="55A7CCA6" w14:textId="77777777" w:rsidR="00166887" w:rsidRPr="008040C2" w:rsidRDefault="00166887" w:rsidP="00166887">
      <w:pPr>
        <w:pStyle w:val="ListParagraph"/>
        <w:numPr>
          <w:ilvl w:val="0"/>
          <w:numId w:val="33"/>
        </w:numPr>
        <w:jc w:val="both"/>
        <w:rPr>
          <w:color w:val="FFFFFF" w:themeColor="background1"/>
          <w:szCs w:val="24"/>
        </w:rPr>
      </w:pPr>
      <w:r w:rsidRPr="008040C2">
        <w:rPr>
          <w:b/>
          <w:bCs/>
          <w:color w:val="FFFFFF" w:themeColor="background1"/>
          <w:szCs w:val="24"/>
        </w:rPr>
        <w:t>Consumer Voice</w:t>
      </w:r>
      <w:r>
        <w:rPr>
          <w:color w:val="FFFFFF" w:themeColor="background1"/>
          <w:szCs w:val="24"/>
        </w:rPr>
        <w:t>—</w:t>
      </w:r>
      <w:r w:rsidRPr="008040C2">
        <w:rPr>
          <w:color w:val="FFFFFF" w:themeColor="background1"/>
          <w:szCs w:val="24"/>
        </w:rPr>
        <w:t>the mental health system must meet the needs and goals of mental health consumers as its primary outcome. All other principles should be mediated by this principle</w:t>
      </w:r>
    </w:p>
    <w:p w14:paraId="2162F072"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Family, supporter, kin and carer</w:t>
      </w:r>
      <w:r>
        <w:rPr>
          <w:color w:val="FFFFFF" w:themeColor="background1"/>
          <w:szCs w:val="24"/>
        </w:rPr>
        <w:t>—</w:t>
      </w:r>
      <w:r w:rsidRPr="008040C2">
        <w:rPr>
          <w:color w:val="FFFFFF" w:themeColor="background1"/>
          <w:szCs w:val="24"/>
        </w:rPr>
        <w:t>the outcomes in the mental health system must consider the utility of outcomes for families, supporters, kin and carers, including how it will impact them</w:t>
      </w:r>
    </w:p>
    <w:p w14:paraId="6BAF0DB8"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Change</w:t>
      </w:r>
      <w:r>
        <w:rPr>
          <w:color w:val="FFFFFF" w:themeColor="background1"/>
          <w:szCs w:val="24"/>
        </w:rPr>
        <w:t>—</w:t>
      </w:r>
      <w:r w:rsidRPr="008040C2">
        <w:rPr>
          <w:color w:val="FFFFFF" w:themeColor="background1"/>
          <w:szCs w:val="24"/>
        </w:rPr>
        <w:t xml:space="preserve">that outcomes should focus on measuring </w:t>
      </w:r>
      <w:r w:rsidRPr="008040C2">
        <w:rPr>
          <w:i/>
          <w:iCs/>
          <w:color w:val="FFFFFF" w:themeColor="background1"/>
          <w:szCs w:val="24"/>
        </w:rPr>
        <w:t>change</w:t>
      </w:r>
      <w:r w:rsidRPr="008040C2">
        <w:rPr>
          <w:color w:val="FFFFFF" w:themeColor="background1"/>
          <w:szCs w:val="24"/>
        </w:rPr>
        <w:t xml:space="preserve"> and </w:t>
      </w:r>
      <w:r w:rsidRPr="008040C2">
        <w:rPr>
          <w:i/>
          <w:iCs/>
          <w:color w:val="FFFFFF" w:themeColor="background1"/>
          <w:szCs w:val="24"/>
        </w:rPr>
        <w:t>progress</w:t>
      </w:r>
    </w:p>
    <w:p w14:paraId="35AE308C"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Inclusivity</w:t>
      </w:r>
      <w:r>
        <w:rPr>
          <w:color w:val="FFFFFF" w:themeColor="background1"/>
          <w:szCs w:val="24"/>
        </w:rPr>
        <w:t>—</w:t>
      </w:r>
      <w:r w:rsidRPr="008040C2">
        <w:rPr>
          <w:color w:val="FFFFFF" w:themeColor="background1"/>
          <w:szCs w:val="24"/>
        </w:rPr>
        <w:t>that the approach should include diverse experiences and voices, including those who are not often heard. Inclusivity also means taking a relational approach</w:t>
      </w:r>
    </w:p>
    <w:p w14:paraId="7689497E"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Workforce needs</w:t>
      </w:r>
      <w:r>
        <w:rPr>
          <w:color w:val="FFFFFF" w:themeColor="background1"/>
          <w:szCs w:val="24"/>
        </w:rPr>
        <w:t>—</w:t>
      </w:r>
      <w:r w:rsidRPr="008040C2">
        <w:rPr>
          <w:color w:val="FFFFFF" w:themeColor="background1"/>
          <w:szCs w:val="24"/>
        </w:rPr>
        <w:t xml:space="preserve">that the mental health workforce should enjoy a safe and fair workplace. However, the outcomes of the system should be based on what consumers want, not </w:t>
      </w:r>
      <w:r w:rsidRPr="008040C2">
        <w:rPr>
          <w:i/>
          <w:iCs/>
          <w:color w:val="FFFFFF" w:themeColor="background1"/>
          <w:szCs w:val="24"/>
        </w:rPr>
        <w:t>what the workforce want for consumers and what is reasonable for family, carers, kin and supporters</w:t>
      </w:r>
    </w:p>
    <w:p w14:paraId="0BD5506D"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Socio-political</w:t>
      </w:r>
      <w:r>
        <w:rPr>
          <w:color w:val="FFFFFF" w:themeColor="background1"/>
          <w:szCs w:val="24"/>
        </w:rPr>
        <w:t>—</w:t>
      </w:r>
      <w:r w:rsidRPr="008040C2">
        <w:rPr>
          <w:color w:val="FFFFFF" w:themeColor="background1"/>
          <w:szCs w:val="24"/>
        </w:rPr>
        <w:t>that outcomes should respond to the socio-political conditions, including the social determinants, that give rise to mental health and wellbeing. This includes the conditions within services that will impact on the realisation of outcomes, and</w:t>
      </w:r>
    </w:p>
    <w:p w14:paraId="117B1D92" w14:textId="77777777" w:rsidR="00166887" w:rsidRPr="008040C2" w:rsidRDefault="00166887" w:rsidP="00166887">
      <w:pPr>
        <w:pStyle w:val="ListParagraph"/>
        <w:numPr>
          <w:ilvl w:val="0"/>
          <w:numId w:val="32"/>
        </w:numPr>
        <w:rPr>
          <w:color w:val="FFFFFF" w:themeColor="background1"/>
          <w:szCs w:val="24"/>
        </w:rPr>
      </w:pPr>
      <w:r w:rsidRPr="008040C2">
        <w:rPr>
          <w:b/>
          <w:bCs/>
          <w:color w:val="FFFFFF" w:themeColor="background1"/>
          <w:szCs w:val="24"/>
        </w:rPr>
        <w:t>Human rights</w:t>
      </w:r>
      <w:r>
        <w:rPr>
          <w:color w:val="FFFFFF" w:themeColor="background1"/>
          <w:szCs w:val="24"/>
        </w:rPr>
        <w:t>—</w:t>
      </w:r>
      <w:r w:rsidRPr="008040C2">
        <w:rPr>
          <w:color w:val="FFFFFF" w:themeColor="background1"/>
          <w:szCs w:val="24"/>
        </w:rPr>
        <w:t xml:space="preserve">that international human rights, such as the </w:t>
      </w:r>
      <w:r>
        <w:rPr>
          <w:color w:val="FFFFFF" w:themeColor="background1"/>
          <w:szCs w:val="24"/>
        </w:rPr>
        <w:t>CRPD</w:t>
      </w:r>
      <w:r w:rsidRPr="008040C2">
        <w:rPr>
          <w:color w:val="FFFFFF" w:themeColor="background1"/>
          <w:szCs w:val="24"/>
        </w:rPr>
        <w:t xml:space="preserve"> will be promoted. Outcomes must properly consider the </w:t>
      </w:r>
      <w:r>
        <w:rPr>
          <w:color w:val="FFFFFF" w:themeColor="background1"/>
          <w:szCs w:val="24"/>
        </w:rPr>
        <w:t>Charter</w:t>
      </w:r>
      <w:r w:rsidRPr="008040C2">
        <w:rPr>
          <w:color w:val="FFFFFF" w:themeColor="background1"/>
          <w:szCs w:val="24"/>
        </w:rPr>
        <w:t>.</w:t>
      </w:r>
    </w:p>
    <w:p w14:paraId="0E221EB5" w14:textId="77777777" w:rsidR="00166887" w:rsidRDefault="00166887" w:rsidP="00166887">
      <w:pPr>
        <w:rPr>
          <w:color w:val="FFFFFF" w:themeColor="background1"/>
          <w:szCs w:val="24"/>
        </w:rPr>
      </w:pPr>
      <w:r w:rsidRPr="008040C2">
        <w:rPr>
          <w:color w:val="FFFFFF" w:themeColor="background1"/>
          <w:szCs w:val="24"/>
        </w:rPr>
        <w:t>It is the combination of these principles, as well as regular and in-depth dialogues, that embedded human rights across the process, and ultimately the framework.</w:t>
      </w:r>
    </w:p>
    <w:p w14:paraId="0CF9D38A" w14:textId="71D4DCA8" w:rsidR="00166887" w:rsidRPr="00166887" w:rsidRDefault="00166887" w:rsidP="00166887">
      <w:pPr>
        <w:rPr>
          <w:color w:val="FFFFFF" w:themeColor="background1"/>
          <w:szCs w:val="24"/>
        </w:rPr>
      </w:pPr>
      <w:r w:rsidRPr="008040C2">
        <w:rPr>
          <w:color w:val="FFFFFF" w:themeColor="background1"/>
          <w:szCs w:val="24"/>
        </w:rPr>
        <w:t>The successes of this work were presented by the Team and LEEP members at the national The Mental Health Services (</w:t>
      </w:r>
      <w:r w:rsidRPr="008040C2">
        <w:rPr>
          <w:b/>
          <w:bCs/>
          <w:color w:val="FFFFFF" w:themeColor="background1"/>
          <w:szCs w:val="24"/>
        </w:rPr>
        <w:t>THEMHS</w:t>
      </w:r>
      <w:r w:rsidRPr="008040C2">
        <w:rPr>
          <w:color w:val="FFFFFF" w:themeColor="background1"/>
          <w:szCs w:val="24"/>
        </w:rPr>
        <w:t xml:space="preserve">) conference in Sydney in October 2022. </w:t>
      </w:r>
    </w:p>
    <w:p w14:paraId="3728FC8F" w14:textId="75DB5500" w:rsidR="00255962" w:rsidRDefault="00255962" w:rsidP="00AB0C6E">
      <w:pPr>
        <w:rPr>
          <w:color w:val="FFFFFF" w:themeColor="background1"/>
        </w:rPr>
      </w:pPr>
    </w:p>
    <w:p w14:paraId="5A02A01D" w14:textId="64EEC5D9" w:rsidR="00AB0C6E" w:rsidRPr="00AB0C6E" w:rsidRDefault="00AB0C6E" w:rsidP="00AB0C6E">
      <w:pPr>
        <w:rPr>
          <w:color w:val="FFFFFF" w:themeColor="background1"/>
        </w:rPr>
      </w:pPr>
      <w:r>
        <w:rPr>
          <w:color w:val="FFFFFF" w:themeColor="background1"/>
        </w:rPr>
        <w:t xml:space="preserve"> </w:t>
      </w:r>
    </w:p>
    <w:p w14:paraId="35BD8DBD" w14:textId="3D95A794" w:rsidR="00CB7510" w:rsidRPr="004A5520" w:rsidRDefault="004A5520" w:rsidP="007D1C53">
      <w:pPr>
        <w:pStyle w:val="Heading2-report"/>
      </w:pPr>
      <w:r>
        <w:lastRenderedPageBreak/>
        <w:t>Question 2: How will we draw on lived experience?</w:t>
      </w:r>
    </w:p>
    <w:p w14:paraId="71AF1B7B" w14:textId="2738C6A2" w:rsidR="00CB7510" w:rsidRPr="00CB7510" w:rsidRDefault="00935CF4" w:rsidP="00CB7510">
      <w:r w:rsidRPr="00CB7510">
        <w:t>To</w:t>
      </w:r>
      <w:r w:rsidR="00CB7510" w:rsidRPr="00CB7510">
        <w:t xml:space="preserve"> understand the human rights context and the humans at the end of your decision, you need lived experience expertise. Unconscious biases and a lack of personal experience of how policies are experienced can fail to identify and address existing human rights breaches or result in new human rights breaches. </w:t>
      </w:r>
    </w:p>
    <w:p w14:paraId="14CA8016" w14:textId="77777777" w:rsidR="00C92B20" w:rsidRDefault="00CB7510" w:rsidP="00CB7510">
      <w:r w:rsidRPr="00CB7510">
        <w:t xml:space="preserve">There are many ways that you can draw on lived experience. </w:t>
      </w:r>
    </w:p>
    <w:p w14:paraId="0D2F8B91" w14:textId="42F24DE4" w:rsidR="00EC76AC" w:rsidRDefault="00EC76AC" w:rsidP="00CB7510">
      <w:r>
        <w:t xml:space="preserve">There will be times, such as when you </w:t>
      </w:r>
      <w:r w:rsidR="003761B2">
        <w:t xml:space="preserve">are </w:t>
      </w:r>
      <w:r>
        <w:t xml:space="preserve">designing a service, </w:t>
      </w:r>
      <w:r w:rsidR="003D0570">
        <w:t>when</w:t>
      </w:r>
      <w:r>
        <w:t xml:space="preserve"> you </w:t>
      </w:r>
      <w:r w:rsidR="00A156C5">
        <w:t xml:space="preserve">will </w:t>
      </w:r>
      <w:r>
        <w:t>need input from community members with lived experience</w:t>
      </w:r>
      <w:r w:rsidR="00A156C5">
        <w:t xml:space="preserve"> </w:t>
      </w:r>
      <w:r w:rsidR="009F0EF5">
        <w:t xml:space="preserve">who </w:t>
      </w:r>
      <w:r w:rsidR="003D0570">
        <w:t xml:space="preserve">have </w:t>
      </w:r>
      <w:r w:rsidR="009F0EF5">
        <w:t>either</w:t>
      </w:r>
      <w:r w:rsidR="00A156C5">
        <w:t xml:space="preserve"> </w:t>
      </w:r>
      <w:r w:rsidR="009F0EF5">
        <w:t xml:space="preserve">accessed </w:t>
      </w:r>
      <w:r w:rsidR="00A156C5">
        <w:t>or may want to use that type of service in the future.</w:t>
      </w:r>
    </w:p>
    <w:p w14:paraId="65BE2DED" w14:textId="6F8AC513" w:rsidR="00CB7510" w:rsidRPr="00CB7510" w:rsidRDefault="00CB7510" w:rsidP="00CB7510">
      <w:r w:rsidRPr="00CB7510">
        <w:t xml:space="preserve">There is </w:t>
      </w:r>
      <w:r w:rsidR="009F0EF5">
        <w:t xml:space="preserve">also </w:t>
      </w:r>
      <w:r w:rsidRPr="00CB7510">
        <w:t>significant breadth and depth of lived experience workforce expertise, including:</w:t>
      </w:r>
    </w:p>
    <w:p w14:paraId="4BF4BAD5" w14:textId="77777777" w:rsidR="00CB7510" w:rsidRPr="00CB7510" w:rsidRDefault="00CB7510" w:rsidP="00CB7510">
      <w:pPr>
        <w:pStyle w:val="Bullet"/>
        <w:sectPr w:rsidR="00CB7510" w:rsidRPr="00CB7510" w:rsidSect="00AE59AF">
          <w:type w:val="continuous"/>
          <w:pgSz w:w="11906" w:h="16838"/>
          <w:pgMar w:top="1701" w:right="1418" w:bottom="1440" w:left="1418" w:header="709" w:footer="709" w:gutter="0"/>
          <w:pgNumType w:start="0"/>
          <w:cols w:space="567"/>
          <w:titlePg/>
          <w:docGrid w:linePitch="360"/>
        </w:sectPr>
      </w:pPr>
    </w:p>
    <w:p w14:paraId="06B06023" w14:textId="77777777" w:rsidR="00CB7510" w:rsidRPr="00CB7510" w:rsidRDefault="00CB7510" w:rsidP="00CB7510">
      <w:pPr>
        <w:pStyle w:val="Bullet"/>
      </w:pPr>
      <w:r w:rsidRPr="00CB7510">
        <w:t>supervisors</w:t>
      </w:r>
    </w:p>
    <w:p w14:paraId="3764E1A0" w14:textId="77777777" w:rsidR="00CB7510" w:rsidRPr="00CB7510" w:rsidRDefault="00CB7510" w:rsidP="00CB7510">
      <w:pPr>
        <w:pStyle w:val="Bullet"/>
      </w:pPr>
      <w:r w:rsidRPr="00CB7510">
        <w:t>peer support workers</w:t>
      </w:r>
    </w:p>
    <w:p w14:paraId="343098D5" w14:textId="77777777" w:rsidR="00CB7510" w:rsidRPr="00CB7510" w:rsidRDefault="00CB7510" w:rsidP="00CB7510">
      <w:pPr>
        <w:pStyle w:val="Bullet"/>
      </w:pPr>
      <w:r w:rsidRPr="00CB7510">
        <w:t>individual advocates</w:t>
      </w:r>
    </w:p>
    <w:p w14:paraId="4763F7D3" w14:textId="77777777" w:rsidR="00CB7510" w:rsidRPr="00CB7510" w:rsidRDefault="00CB7510" w:rsidP="00CB7510">
      <w:pPr>
        <w:pStyle w:val="Bullet"/>
      </w:pPr>
      <w:r w:rsidRPr="00CB7510">
        <w:t>systemic advocates</w:t>
      </w:r>
    </w:p>
    <w:p w14:paraId="61272853" w14:textId="77777777" w:rsidR="00CB7510" w:rsidRPr="00CB7510" w:rsidRDefault="00CB7510" w:rsidP="00CB7510">
      <w:pPr>
        <w:pStyle w:val="Bullet"/>
      </w:pPr>
      <w:r w:rsidRPr="00CB7510">
        <w:t>training and education providers</w:t>
      </w:r>
    </w:p>
    <w:p w14:paraId="3642EDB7" w14:textId="77777777" w:rsidR="00CB7510" w:rsidRPr="00CB7510" w:rsidRDefault="00CB7510" w:rsidP="00CB7510">
      <w:pPr>
        <w:pStyle w:val="Bullet"/>
      </w:pPr>
      <w:r w:rsidRPr="00CB7510">
        <w:t>policy workers</w:t>
      </w:r>
    </w:p>
    <w:p w14:paraId="78047E85" w14:textId="7280B0A0" w:rsidR="006D07EE" w:rsidRDefault="00CB7510" w:rsidP="00446F56">
      <w:pPr>
        <w:pStyle w:val="Bullet"/>
      </w:pPr>
      <w:r w:rsidRPr="00CB7510">
        <w:t>researchers.</w:t>
      </w:r>
      <w:r w:rsidRPr="00EB2274">
        <w:rPr>
          <w:rStyle w:val="FootnoteReference"/>
        </w:rPr>
        <w:footnoteReference w:id="22"/>
      </w:r>
      <w:r w:rsidR="00446F56">
        <w:br/>
      </w:r>
    </w:p>
    <w:p w14:paraId="532F5251" w14:textId="093FA11B" w:rsidR="00E91407" w:rsidRDefault="00E91407" w:rsidP="006D07EE">
      <w:r>
        <w:t>Lived experience experts can help with the forecasting and analysis required to inform</w:t>
      </w:r>
      <w:r w:rsidR="000051B0">
        <w:t xml:space="preserve"> your consideration of</w:t>
      </w:r>
      <w:r>
        <w:t xml:space="preserve"> human rights </w:t>
      </w:r>
      <w:r w:rsidR="00734CB4">
        <w:t>impac</w:t>
      </w:r>
      <w:r w:rsidR="000051B0">
        <w:t>ts</w:t>
      </w:r>
      <w:r>
        <w:t xml:space="preserve">. </w:t>
      </w:r>
    </w:p>
    <w:p w14:paraId="2446BD3A" w14:textId="61E96E0A" w:rsidR="006D07EE" w:rsidRDefault="006D07EE" w:rsidP="006D07EE">
      <w:r w:rsidRPr="006D07EE">
        <w:t>Engaging</w:t>
      </w:r>
      <w:r>
        <w:t xml:space="preserve"> with lived experience expertise can</w:t>
      </w:r>
      <w:r w:rsidRPr="00CB7510">
        <w:t xml:space="preserve"> include having designated lived experience workforce members in your project team, engaging lived experience workforce members through the Division or externally, and speak</w:t>
      </w:r>
      <w:r>
        <w:t>ing</w:t>
      </w:r>
      <w:r w:rsidRPr="00CB7510">
        <w:t xml:space="preserve"> to co</w:t>
      </w:r>
      <w:r>
        <w:t>mmunity members with lived experience</w:t>
      </w:r>
      <w:r w:rsidRPr="00CB7510">
        <w:t xml:space="preserve"> directly. </w:t>
      </w:r>
    </w:p>
    <w:p w14:paraId="167F9B64" w14:textId="28F01ED1" w:rsidR="005323FA" w:rsidRDefault="006D07EE" w:rsidP="005323FA">
      <w:pPr>
        <w:spacing w:before="240"/>
      </w:pPr>
      <w:r w:rsidRPr="00CB7510">
        <w:t>You should be intentional about when you approach consumers and carers as a group on these issues, noting that while they can have similar interests and experiences, there are significant differences too.</w:t>
      </w:r>
    </w:p>
    <w:p w14:paraId="4BE81AE1" w14:textId="77777777" w:rsidR="00E91407" w:rsidRDefault="00E91407" w:rsidP="005323FA">
      <w:pPr>
        <w:spacing w:before="240"/>
      </w:pPr>
    </w:p>
    <w:p w14:paraId="1F99C2DF" w14:textId="77777777" w:rsidR="00E91407" w:rsidRDefault="00E91407" w:rsidP="005323FA">
      <w:pPr>
        <w:spacing w:before="240"/>
      </w:pPr>
    </w:p>
    <w:p w14:paraId="069B48C7" w14:textId="77777777" w:rsidR="00E91407" w:rsidRDefault="00E91407" w:rsidP="005323FA">
      <w:pPr>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8E9" w:themeFill="accent1" w:themeFillTint="33"/>
        <w:tblLook w:val="04A0" w:firstRow="1" w:lastRow="0" w:firstColumn="1" w:lastColumn="0" w:noHBand="0" w:noVBand="1"/>
      </w:tblPr>
      <w:tblGrid>
        <w:gridCol w:w="9025"/>
      </w:tblGrid>
      <w:tr w:rsidR="005323FA" w14:paraId="1FD7DEA9" w14:textId="77777777" w:rsidTr="00B63355">
        <w:tc>
          <w:tcPr>
            <w:tcW w:w="9060" w:type="dxa"/>
            <w:tcBorders>
              <w:left w:val="thickThinSmallGap" w:sz="24" w:space="0" w:color="auto"/>
            </w:tcBorders>
            <w:shd w:val="clear" w:color="auto" w:fill="D0E8E9" w:themeFill="accent1" w:themeFillTint="33"/>
          </w:tcPr>
          <w:p w14:paraId="3878FA4F" w14:textId="77777777" w:rsidR="005323FA" w:rsidRDefault="005323FA" w:rsidP="00B63355">
            <w:pPr>
              <w:rPr>
                <w:b/>
                <w:bCs/>
              </w:rPr>
            </w:pPr>
          </w:p>
          <w:p w14:paraId="14277E45" w14:textId="5FB29495" w:rsidR="005323FA" w:rsidRDefault="005323FA" w:rsidP="00B63355">
            <w:pPr>
              <w:rPr>
                <w:b/>
                <w:bCs/>
              </w:rPr>
            </w:pPr>
            <w:r>
              <w:rPr>
                <w:b/>
                <w:bCs/>
              </w:rPr>
              <w:t>BE INTENTIONAL ABOUT LIVED EXPERIENCE</w:t>
            </w:r>
          </w:p>
          <w:p w14:paraId="2ED4413F" w14:textId="0FE8BD5A" w:rsidR="005323FA" w:rsidRPr="00823528" w:rsidRDefault="00B56065" w:rsidP="00823528">
            <w:pPr>
              <w:spacing w:before="240" w:after="0" w:line="22" w:lineRule="atLeast"/>
              <w:ind w:left="357"/>
            </w:pPr>
            <w:r>
              <w:t>All views</w:t>
            </w:r>
            <w:r w:rsidR="00823528">
              <w:t xml:space="preserve"> arising from lived experience and other experiences should be welcome. However, it is important, when considering lived experience perspectives, to prioritise those who have lived experience of human rights issues</w:t>
            </w:r>
            <w:r w:rsidR="00446F56">
              <w:t xml:space="preserve"> in the mental health </w:t>
            </w:r>
            <w:r w:rsidR="00B26726">
              <w:t xml:space="preserve">and wellbeing </w:t>
            </w:r>
            <w:r w:rsidR="00446F56">
              <w:t>system.</w:t>
            </w:r>
            <w:r w:rsidR="00823528">
              <w:br/>
            </w:r>
            <w:r>
              <w:t xml:space="preserve"> </w:t>
            </w:r>
          </w:p>
        </w:tc>
      </w:tr>
    </w:tbl>
    <w:p w14:paraId="4B2CAAFF" w14:textId="498C2168" w:rsidR="006D07EE" w:rsidRDefault="006D07EE" w:rsidP="00446F56">
      <w:pPr>
        <w:spacing w:before="240"/>
      </w:pPr>
      <w:r w:rsidRPr="00CB7510">
        <w:t xml:space="preserve">It is </w:t>
      </w:r>
      <w:r>
        <w:t xml:space="preserve">also </w:t>
      </w:r>
      <w:r w:rsidRPr="00CB7510">
        <w:t xml:space="preserve">important that you aim to take an intersectional approach to this process, hearing from lived experience voices from communities often marginalised, silenced, or negatively impacted by policies that don’t understand </w:t>
      </w:r>
      <w:r w:rsidR="0007694E">
        <w:t>people’s</w:t>
      </w:r>
      <w:r w:rsidRPr="00CB7510">
        <w:t xml:space="preserve"> context. </w:t>
      </w:r>
    </w:p>
    <w:p w14:paraId="1BCED01F" w14:textId="2D770CA4" w:rsidR="006D07EE" w:rsidRDefault="006D07EE" w:rsidP="006D07EE">
      <w:pPr>
        <w:pStyle w:val="Bullet"/>
        <w:numPr>
          <w:ilvl w:val="0"/>
          <w:numId w:val="0"/>
        </w:numPr>
        <w:ind w:left="720" w:hanging="360"/>
        <w:sectPr w:rsidR="006D07EE" w:rsidSect="00AE59AF">
          <w:type w:val="continuous"/>
          <w:pgSz w:w="11906" w:h="16838"/>
          <w:pgMar w:top="1701" w:right="1418" w:bottom="1440" w:left="1418" w:header="709" w:footer="709" w:gutter="0"/>
          <w:pgNumType w:start="0"/>
          <w:cols w:space="567"/>
          <w:titlePg/>
          <w:docGrid w:linePitch="360"/>
        </w:sectPr>
      </w:pPr>
    </w:p>
    <w:p w14:paraId="7668B2AD" w14:textId="6374159E" w:rsidR="005B5812" w:rsidRDefault="00266F29" w:rsidP="00266F29">
      <w:pPr>
        <w:rPr>
          <w:rFonts w:ascii="Segoe UI Symbol" w:hAnsi="Segoe UI Symbol"/>
          <w:bCs/>
          <w:color w:val="FFFFFF" w:themeColor="background1"/>
          <w:sz w:val="96"/>
          <w:szCs w:val="96"/>
        </w:rPr>
      </w:pPr>
      <w:r>
        <w:rPr>
          <w:noProof/>
        </w:rPr>
        <w:lastRenderedPageBreak/>
        <mc:AlternateContent>
          <mc:Choice Requires="wps">
            <w:drawing>
              <wp:anchor distT="0" distB="0" distL="114300" distR="114300" simplePos="0" relativeHeight="251658241" behindDoc="1" locked="0" layoutInCell="1" allowOverlap="1" wp14:anchorId="0E2E6ACE" wp14:editId="393E180F">
                <wp:simplePos x="0" y="0"/>
                <wp:positionH relativeFrom="page">
                  <wp:align>left</wp:align>
                </wp:positionH>
                <wp:positionV relativeFrom="paragraph">
                  <wp:posOffset>-1315662</wp:posOffset>
                </wp:positionV>
                <wp:extent cx="7620000" cy="10930269"/>
                <wp:effectExtent l="0" t="0" r="19050" b="23495"/>
                <wp:wrapNone/>
                <wp:docPr id="30" name="Rectangle 30"/>
                <wp:cNvGraphicFramePr/>
                <a:graphic xmlns:a="http://schemas.openxmlformats.org/drawingml/2006/main">
                  <a:graphicData uri="http://schemas.microsoft.com/office/word/2010/wordprocessingShape">
                    <wps:wsp>
                      <wps:cNvSpPr/>
                      <wps:spPr>
                        <a:xfrm>
                          <a:off x="0" y="0"/>
                          <a:ext cx="7620000" cy="10930269"/>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035D350" id="Rectangle 30" o:spid="_x0000_s1026" style="position:absolute;margin-left:0;margin-top:-103.6pt;width:600pt;height:860.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" fillcolor="#201547" strokecolor="#201547" strokeweight="1pt">
                <w10:wrap anchorx="page"/>
              </v:rect>
            </w:pict>
          </mc:Fallback>
        </mc:AlternateContent>
      </w:r>
      <w:r w:rsidR="00014E0E">
        <w:rPr>
          <w:rFonts w:ascii="Segoe UI Symbol" w:hAnsi="Segoe UI Symbol"/>
          <w:color w:val="FFFFFF" w:themeColor="background1"/>
          <w:sz w:val="96"/>
          <w:szCs w:val="96"/>
        </w:rPr>
        <w:t></w:t>
      </w:r>
    </w:p>
    <w:p w14:paraId="04C73684" w14:textId="4A1917D0" w:rsidR="005B5812" w:rsidRDefault="005B5812" w:rsidP="005B5812">
      <w:pPr>
        <w:pStyle w:val="Heading2"/>
        <w:spacing w:line="216" w:lineRule="auto"/>
        <w:rPr>
          <w:rFonts w:eastAsia="Calibri"/>
          <w:b/>
          <w:bCs/>
          <w:color w:val="FFFFFF" w:themeColor="background1"/>
        </w:rPr>
      </w:pPr>
      <w:bookmarkStart w:id="0" w:name="_Toc125116924"/>
      <w:r w:rsidRPr="00705BED">
        <w:rPr>
          <w:rFonts w:asciiTheme="minorHAnsi" w:eastAsia="Calibri" w:hAnsiTheme="minorHAnsi" w:cstheme="minorHAnsi"/>
          <w:b/>
          <w:bCs/>
          <w:color w:val="FFFFFF" w:themeColor="background1"/>
          <w:sz w:val="72"/>
          <w:szCs w:val="72"/>
        </w:rPr>
        <w:t xml:space="preserve">Put </w:t>
      </w:r>
      <w:r w:rsidR="0067587B" w:rsidRPr="00705BED">
        <w:rPr>
          <w:rFonts w:asciiTheme="minorHAnsi" w:eastAsia="Calibri" w:hAnsiTheme="minorHAnsi" w:cstheme="minorHAnsi"/>
          <w:b/>
          <w:bCs/>
          <w:color w:val="FFFFFF" w:themeColor="background1"/>
          <w:sz w:val="72"/>
          <w:szCs w:val="72"/>
        </w:rPr>
        <w:t>lived experience</w:t>
      </w:r>
      <w:r w:rsidRPr="00705BED">
        <w:rPr>
          <w:rFonts w:asciiTheme="minorHAnsi" w:eastAsia="Calibri" w:hAnsiTheme="minorHAnsi" w:cstheme="minorHAnsi"/>
          <w:b/>
          <w:bCs/>
          <w:color w:val="FFFFFF" w:themeColor="background1"/>
          <w:sz w:val="72"/>
          <w:szCs w:val="72"/>
        </w:rPr>
        <w:t xml:space="preserve"> </w:t>
      </w:r>
      <w:r w:rsidRPr="00705BED">
        <w:rPr>
          <w:rFonts w:asciiTheme="minorHAnsi" w:eastAsia="Calibri" w:hAnsiTheme="minorHAnsi" w:cstheme="minorHAnsi"/>
          <w:b/>
          <w:bCs/>
          <w:color w:val="FFFFFF" w:themeColor="background1"/>
          <w:sz w:val="72"/>
          <w:szCs w:val="72"/>
        </w:rPr>
        <w:br/>
        <w:t>into action</w:t>
      </w:r>
      <w:r w:rsidRPr="005B5812">
        <w:rPr>
          <w:rFonts w:eastAsia="Calibri"/>
          <w:b/>
          <w:bCs/>
          <w:color w:val="FFFFFF" w:themeColor="background1"/>
        </w:rPr>
        <w:br/>
      </w:r>
      <w:r w:rsidR="00F62BEE">
        <w:rPr>
          <w:rFonts w:eastAsia="Calibri"/>
          <w:b/>
          <w:bCs/>
          <w:color w:val="FFFFFF" w:themeColor="background1"/>
        </w:rPr>
        <w:br/>
      </w:r>
      <w:r w:rsidRPr="005B5812">
        <w:rPr>
          <w:rFonts w:eastAsia="Calibri"/>
          <w:b/>
          <w:bCs/>
          <w:color w:val="FFFFFF" w:themeColor="background1"/>
        </w:rPr>
        <w:t>GET STARTED TODAY</w:t>
      </w:r>
      <w:bookmarkEnd w:id="0"/>
    </w:p>
    <w:p w14:paraId="237BA02E" w14:textId="77777777" w:rsidR="00F62BEE" w:rsidRDefault="00F62BEE" w:rsidP="004A5520">
      <w:pPr>
        <w:rPr>
          <w:color w:val="FFFFFF" w:themeColor="background1"/>
        </w:rPr>
      </w:pPr>
    </w:p>
    <w:p w14:paraId="05358C42" w14:textId="3C83B320" w:rsidR="004A5520" w:rsidRPr="00F62BEE" w:rsidRDefault="004A5520" w:rsidP="004A5520">
      <w:pPr>
        <w:rPr>
          <w:color w:val="FFFFFF" w:themeColor="background1"/>
        </w:rPr>
      </w:pPr>
      <w:r w:rsidRPr="00F62BEE">
        <w:rPr>
          <w:color w:val="FFFFFF" w:themeColor="background1"/>
        </w:rPr>
        <w:t>Some questions you might ask people with lived experience and designated lived experience workers are:</w:t>
      </w:r>
    </w:p>
    <w:p w14:paraId="725275EC" w14:textId="27998DD7" w:rsidR="004A5520" w:rsidRPr="00F62BEE" w:rsidRDefault="004A5520" w:rsidP="00E225B4">
      <w:pPr>
        <w:pStyle w:val="ListParagraph"/>
        <w:numPr>
          <w:ilvl w:val="0"/>
          <w:numId w:val="29"/>
        </w:numPr>
        <w:rPr>
          <w:color w:val="FFFFFF" w:themeColor="background1"/>
        </w:rPr>
      </w:pPr>
      <w:r w:rsidRPr="00F62BEE">
        <w:rPr>
          <w:color w:val="FFFFFF" w:themeColor="background1"/>
        </w:rPr>
        <w:t xml:space="preserve">Who is </w:t>
      </w:r>
      <w:r w:rsidR="00EF765A">
        <w:rPr>
          <w:color w:val="FFFFFF" w:themeColor="background1"/>
        </w:rPr>
        <w:t>affected</w:t>
      </w:r>
      <w:r w:rsidR="00EF765A" w:rsidRPr="00F62BEE">
        <w:rPr>
          <w:color w:val="FFFFFF" w:themeColor="background1"/>
        </w:rPr>
        <w:t xml:space="preserve"> </w:t>
      </w:r>
      <w:r w:rsidRPr="00F62BEE">
        <w:rPr>
          <w:color w:val="FFFFFF" w:themeColor="background1"/>
        </w:rPr>
        <w:t>by this policy area?</w:t>
      </w:r>
    </w:p>
    <w:p w14:paraId="6082D68B" w14:textId="649840E1" w:rsidR="004A5520" w:rsidRPr="00F62BEE" w:rsidRDefault="004A5520" w:rsidP="00E225B4">
      <w:pPr>
        <w:pStyle w:val="ListParagraph"/>
        <w:numPr>
          <w:ilvl w:val="0"/>
          <w:numId w:val="29"/>
        </w:numPr>
        <w:rPr>
          <w:color w:val="FFFFFF" w:themeColor="background1"/>
        </w:rPr>
      </w:pPr>
      <w:r w:rsidRPr="00F62BEE">
        <w:rPr>
          <w:color w:val="FFFFFF" w:themeColor="background1"/>
        </w:rPr>
        <w:t xml:space="preserve">Who will be </w:t>
      </w:r>
      <w:r w:rsidR="00EF765A">
        <w:rPr>
          <w:color w:val="FFFFFF" w:themeColor="background1"/>
        </w:rPr>
        <w:t>affected</w:t>
      </w:r>
      <w:r w:rsidR="00EF765A" w:rsidRPr="00F62BEE">
        <w:rPr>
          <w:color w:val="FFFFFF" w:themeColor="background1"/>
        </w:rPr>
        <w:t xml:space="preserve"> </w:t>
      </w:r>
      <w:r w:rsidRPr="00F62BEE">
        <w:rPr>
          <w:color w:val="FFFFFF" w:themeColor="background1"/>
        </w:rPr>
        <w:t>by this policy decision?</w:t>
      </w:r>
    </w:p>
    <w:p w14:paraId="166D7D6C" w14:textId="0D47E6C3" w:rsidR="004A5520" w:rsidRPr="00F62BEE" w:rsidRDefault="004A5520" w:rsidP="00E225B4">
      <w:pPr>
        <w:pStyle w:val="ListParagraph"/>
        <w:numPr>
          <w:ilvl w:val="0"/>
          <w:numId w:val="29"/>
        </w:numPr>
        <w:rPr>
          <w:color w:val="FFFFFF" w:themeColor="background1"/>
        </w:rPr>
      </w:pPr>
      <w:r w:rsidRPr="00F62BEE">
        <w:rPr>
          <w:color w:val="FFFFFF" w:themeColor="background1"/>
        </w:rPr>
        <w:t xml:space="preserve">How will people’s human rights be </w:t>
      </w:r>
      <w:r w:rsidR="00EF765A">
        <w:rPr>
          <w:color w:val="FFFFFF" w:themeColor="background1"/>
        </w:rPr>
        <w:t>affected</w:t>
      </w:r>
      <w:r w:rsidR="00EF765A" w:rsidRPr="00F62BEE">
        <w:rPr>
          <w:color w:val="FFFFFF" w:themeColor="background1"/>
        </w:rPr>
        <w:t xml:space="preserve"> </w:t>
      </w:r>
      <w:r w:rsidRPr="00F62BEE">
        <w:rPr>
          <w:color w:val="FFFFFF" w:themeColor="background1"/>
        </w:rPr>
        <w:t>if we don’t change anything in this policy area?</w:t>
      </w:r>
    </w:p>
    <w:p w14:paraId="0171536F" w14:textId="25191CC4" w:rsidR="004A5520" w:rsidRPr="00F62BEE" w:rsidRDefault="004A5520" w:rsidP="00E225B4">
      <w:pPr>
        <w:pStyle w:val="ListParagraph"/>
        <w:numPr>
          <w:ilvl w:val="0"/>
          <w:numId w:val="29"/>
        </w:numPr>
        <w:rPr>
          <w:color w:val="FFFFFF" w:themeColor="background1"/>
        </w:rPr>
      </w:pPr>
      <w:r w:rsidRPr="00F62BEE">
        <w:rPr>
          <w:color w:val="FFFFFF" w:themeColor="background1"/>
        </w:rPr>
        <w:t xml:space="preserve">What are the </w:t>
      </w:r>
      <w:r w:rsidR="00012DBA">
        <w:rPr>
          <w:color w:val="FFFFFF" w:themeColor="background1"/>
        </w:rPr>
        <w:t>effects</w:t>
      </w:r>
      <w:r w:rsidR="00012DBA" w:rsidRPr="00F62BEE">
        <w:rPr>
          <w:color w:val="FFFFFF" w:themeColor="background1"/>
        </w:rPr>
        <w:t xml:space="preserve"> </w:t>
      </w:r>
      <w:r w:rsidRPr="00F62BEE">
        <w:rPr>
          <w:color w:val="FFFFFF" w:themeColor="background1"/>
        </w:rPr>
        <w:t>of current policies on people with lived experience?</w:t>
      </w:r>
    </w:p>
    <w:p w14:paraId="739A6977" w14:textId="5A9F486E" w:rsidR="004A5520" w:rsidRPr="00F62BEE" w:rsidRDefault="00D97968" w:rsidP="00E225B4">
      <w:pPr>
        <w:pStyle w:val="ListParagraph"/>
        <w:numPr>
          <w:ilvl w:val="0"/>
          <w:numId w:val="29"/>
        </w:numPr>
        <w:rPr>
          <w:color w:val="FFFFFF" w:themeColor="background1"/>
        </w:rPr>
      </w:pPr>
      <w:r>
        <w:rPr>
          <w:color w:val="FFFFFF" w:themeColor="background1"/>
        </w:rPr>
        <w:t>If a</w:t>
      </w:r>
      <w:r w:rsidR="004A5520" w:rsidRPr="00F62BEE">
        <w:rPr>
          <w:color w:val="FFFFFF" w:themeColor="background1"/>
        </w:rPr>
        <w:t>nother group has human rights concerns in this policy area</w:t>
      </w:r>
      <w:r w:rsidR="001D0720">
        <w:rPr>
          <w:color w:val="FFFFFF" w:themeColor="background1"/>
        </w:rPr>
        <w:t>—</w:t>
      </w:r>
      <w:r w:rsidR="004A5520" w:rsidRPr="00F62BEE">
        <w:rPr>
          <w:color w:val="FFFFFF" w:themeColor="background1"/>
        </w:rPr>
        <w:t xml:space="preserve">how do you think we can balance their needs and rights with </w:t>
      </w:r>
      <w:r w:rsidR="0090197A">
        <w:rPr>
          <w:color w:val="FFFFFF" w:themeColor="background1"/>
        </w:rPr>
        <w:t xml:space="preserve">the </w:t>
      </w:r>
      <w:r>
        <w:rPr>
          <w:color w:val="FFFFFF" w:themeColor="background1"/>
        </w:rPr>
        <w:t>human rights</w:t>
      </w:r>
      <w:r w:rsidR="0090197A">
        <w:rPr>
          <w:color w:val="FFFFFF" w:themeColor="background1"/>
        </w:rPr>
        <w:t xml:space="preserve"> of the group you share lived experience with</w:t>
      </w:r>
      <w:r w:rsidR="004A5520" w:rsidRPr="00F62BEE">
        <w:rPr>
          <w:color w:val="FFFFFF" w:themeColor="background1"/>
        </w:rPr>
        <w:t xml:space="preserve"> (be it consumer</w:t>
      </w:r>
      <w:r w:rsidR="003027BA">
        <w:rPr>
          <w:color w:val="FFFFFF" w:themeColor="background1"/>
        </w:rPr>
        <w:t>,</w:t>
      </w:r>
      <w:r w:rsidR="004A5520" w:rsidRPr="00F62BEE">
        <w:rPr>
          <w:color w:val="FFFFFF" w:themeColor="background1"/>
        </w:rPr>
        <w:t xml:space="preserve"> family, carer and supporter</w:t>
      </w:r>
      <w:r w:rsidR="003027BA">
        <w:rPr>
          <w:color w:val="FFFFFF" w:themeColor="background1"/>
        </w:rPr>
        <w:t xml:space="preserve"> or worker</w:t>
      </w:r>
      <w:r w:rsidR="004A5520" w:rsidRPr="00F62BEE">
        <w:rPr>
          <w:color w:val="FFFFFF" w:themeColor="background1"/>
        </w:rPr>
        <w:t>)?</w:t>
      </w:r>
    </w:p>
    <w:p w14:paraId="05CCF784" w14:textId="203D54AF" w:rsidR="004A5520" w:rsidRPr="00F62BEE" w:rsidRDefault="004A5520" w:rsidP="00E225B4">
      <w:pPr>
        <w:pStyle w:val="ListParagraph"/>
        <w:numPr>
          <w:ilvl w:val="0"/>
          <w:numId w:val="29"/>
        </w:numPr>
        <w:rPr>
          <w:color w:val="FFFFFF" w:themeColor="background1"/>
        </w:rPr>
      </w:pPr>
      <w:r w:rsidRPr="00F62BEE">
        <w:rPr>
          <w:color w:val="FFFFFF" w:themeColor="background1"/>
        </w:rPr>
        <w:t>This is how we plan to develop this policy</w:t>
      </w:r>
      <w:r w:rsidR="001D0720">
        <w:rPr>
          <w:color w:val="FFFFFF" w:themeColor="background1"/>
        </w:rPr>
        <w:t>—</w:t>
      </w:r>
      <w:r w:rsidRPr="00F62BEE">
        <w:rPr>
          <w:color w:val="FFFFFF" w:themeColor="background1"/>
        </w:rPr>
        <w:t>can you see areas where human rights might fall off or fall away?</w:t>
      </w:r>
    </w:p>
    <w:p w14:paraId="23403695" w14:textId="77777777" w:rsidR="004A5520" w:rsidRDefault="004A5520" w:rsidP="00E225B4">
      <w:pPr>
        <w:pStyle w:val="ListParagraph"/>
        <w:numPr>
          <w:ilvl w:val="0"/>
          <w:numId w:val="29"/>
        </w:numPr>
        <w:rPr>
          <w:color w:val="FFFFFF" w:themeColor="background1"/>
        </w:rPr>
      </w:pPr>
      <w:r w:rsidRPr="00F62BEE">
        <w:rPr>
          <w:color w:val="FFFFFF" w:themeColor="background1"/>
        </w:rPr>
        <w:t>What should we be worried about?</w:t>
      </w:r>
    </w:p>
    <w:p w14:paraId="664976AC" w14:textId="6DE0FAAB" w:rsidR="0025505D" w:rsidRPr="00F62BEE" w:rsidRDefault="0025505D" w:rsidP="00E225B4">
      <w:pPr>
        <w:pStyle w:val="ListParagraph"/>
        <w:numPr>
          <w:ilvl w:val="0"/>
          <w:numId w:val="29"/>
        </w:numPr>
        <w:rPr>
          <w:color w:val="FFFFFF" w:themeColor="background1"/>
        </w:rPr>
      </w:pPr>
      <w:r>
        <w:rPr>
          <w:color w:val="FFFFFF" w:themeColor="background1"/>
        </w:rPr>
        <w:t>Who else should we speak to?</w:t>
      </w:r>
    </w:p>
    <w:p w14:paraId="717AAB5F" w14:textId="77777777" w:rsidR="004A5520" w:rsidRPr="00F62BEE" w:rsidRDefault="004A5520" w:rsidP="00E225B4">
      <w:pPr>
        <w:pStyle w:val="ListParagraph"/>
        <w:numPr>
          <w:ilvl w:val="0"/>
          <w:numId w:val="29"/>
        </w:numPr>
        <w:rPr>
          <w:color w:val="FFFFFF" w:themeColor="background1"/>
        </w:rPr>
      </w:pPr>
      <w:r w:rsidRPr="00F62BEE">
        <w:rPr>
          <w:color w:val="FFFFFF" w:themeColor="background1"/>
        </w:rPr>
        <w:t>Where are the opportunities for us to maximise human rights?</w:t>
      </w:r>
    </w:p>
    <w:p w14:paraId="3C36DC3B" w14:textId="5E736824" w:rsidR="004A5520" w:rsidRPr="00315484" w:rsidRDefault="004A5520" w:rsidP="00F62BEE">
      <w:pPr>
        <w:spacing w:before="240"/>
        <w:rPr>
          <w:b/>
          <w:bCs/>
          <w:color w:val="FFFFFF" w:themeColor="background1"/>
          <w:sz w:val="40"/>
          <w:szCs w:val="40"/>
        </w:rPr>
      </w:pPr>
      <w:r w:rsidRPr="00F62BEE">
        <w:rPr>
          <w:color w:val="FFFFFF" w:themeColor="background1"/>
        </w:rPr>
        <w:t xml:space="preserve">In </w:t>
      </w:r>
      <w:r w:rsidR="00E21556">
        <w:rPr>
          <w:color w:val="FFFFFF" w:themeColor="background1"/>
        </w:rPr>
        <w:t xml:space="preserve">relation to any of </w:t>
      </w:r>
      <w:r w:rsidRPr="00F62BEE">
        <w:rPr>
          <w:color w:val="FFFFFF" w:themeColor="background1"/>
        </w:rPr>
        <w:t>these questions you may ask for public</w:t>
      </w:r>
      <w:r w:rsidR="0025505D">
        <w:rPr>
          <w:color w:val="FFFFFF" w:themeColor="background1"/>
        </w:rPr>
        <w:t>, confidential</w:t>
      </w:r>
      <w:r w:rsidRPr="00F62BEE">
        <w:rPr>
          <w:color w:val="FFFFFF" w:themeColor="background1"/>
        </w:rPr>
        <w:t xml:space="preserve"> or deidentified examples</w:t>
      </w:r>
      <w:r w:rsidR="00CA21E6">
        <w:rPr>
          <w:color w:val="FFFFFF" w:themeColor="background1"/>
        </w:rPr>
        <w:t>, data or anecdotal information,</w:t>
      </w:r>
      <w:r w:rsidRPr="00F62BEE">
        <w:rPr>
          <w:color w:val="FFFFFF" w:themeColor="background1"/>
        </w:rPr>
        <w:t xml:space="preserve"> or </w:t>
      </w:r>
      <w:r w:rsidR="00CA21E6">
        <w:rPr>
          <w:color w:val="FFFFFF" w:themeColor="background1"/>
        </w:rPr>
        <w:t xml:space="preserve">other </w:t>
      </w:r>
      <w:r w:rsidRPr="00F62BEE">
        <w:rPr>
          <w:color w:val="FFFFFF" w:themeColor="background1"/>
        </w:rPr>
        <w:t xml:space="preserve">clarification </w:t>
      </w:r>
      <w:r w:rsidR="0025505D">
        <w:rPr>
          <w:color w:val="FFFFFF" w:themeColor="background1"/>
        </w:rPr>
        <w:t xml:space="preserve">you need </w:t>
      </w:r>
      <w:r w:rsidRPr="00F62BEE">
        <w:rPr>
          <w:color w:val="FFFFFF" w:themeColor="background1"/>
        </w:rPr>
        <w:t xml:space="preserve">to better understand the issue.  </w:t>
      </w:r>
    </w:p>
    <w:p w14:paraId="10E381B6" w14:textId="77777777" w:rsidR="004A5520" w:rsidRPr="004A5520" w:rsidRDefault="004A5520" w:rsidP="004A5520"/>
    <w:p w14:paraId="2069AD3D" w14:textId="7AD5C80E" w:rsidR="00092F77" w:rsidRPr="00175EBF" w:rsidRDefault="002673A2" w:rsidP="00092F77">
      <w:pPr>
        <w:pStyle w:val="Heading3-report"/>
      </w:pPr>
      <w:r w:rsidRPr="005B5812">
        <w:t>n 2. How will we draw on</w:t>
      </w:r>
      <w:r>
        <w:t xml:space="preserve"> lived experience for this decision?</w:t>
      </w:r>
    </w:p>
    <w:p w14:paraId="6E472ED5" w14:textId="77777777" w:rsidR="000F5620" w:rsidRDefault="000F5620" w:rsidP="00092F77">
      <w:pPr>
        <w:rPr>
          <w:color w:val="FFFFFF" w:themeColor="background1"/>
        </w:rPr>
      </w:pPr>
    </w:p>
    <w:p w14:paraId="6CDA1167" w14:textId="4C121CD5" w:rsidR="00A05734" w:rsidRDefault="00A05734">
      <w:r>
        <w:br w:type="page"/>
      </w:r>
    </w:p>
    <w:p w14:paraId="5A2C114D" w14:textId="5F05EB59" w:rsidR="008670B0" w:rsidRDefault="008670B0" w:rsidP="00092F77">
      <w:pPr>
        <w:pStyle w:val="Heading2-report"/>
        <w:rPr>
          <w:noProof/>
        </w:rPr>
      </w:pPr>
      <w:r>
        <w:rPr>
          <w:noProof/>
        </w:rPr>
        <w:lastRenderedPageBreak/>
        <w:drawing>
          <wp:anchor distT="0" distB="0" distL="114300" distR="114300" simplePos="0" relativeHeight="251658260" behindDoc="1" locked="0" layoutInCell="1" allowOverlap="1" wp14:anchorId="5B219DD2" wp14:editId="60010A54">
            <wp:simplePos x="0" y="0"/>
            <wp:positionH relativeFrom="column">
              <wp:posOffset>4467487</wp:posOffset>
            </wp:positionH>
            <wp:positionV relativeFrom="paragraph">
              <wp:posOffset>-558588</wp:posOffset>
            </wp:positionV>
            <wp:extent cx="2110902" cy="2065866"/>
            <wp:effectExtent l="0" t="0" r="3810" b="0"/>
            <wp:wrapNone/>
            <wp:docPr id="287" name="Picture 287" descr="A symbol of a book with a magnifying gla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symbol of a book with a magnifying glass over i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8392" b="71202"/>
                    <a:stretch/>
                  </pic:blipFill>
                  <pic:spPr bwMode="auto">
                    <a:xfrm>
                      <a:off x="0" y="0"/>
                      <a:ext cx="2115104" cy="2069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F4966" w14:textId="6521DC1B" w:rsidR="00315484" w:rsidRDefault="007F65C1" w:rsidP="00092F77">
      <w:pPr>
        <w:pStyle w:val="Heading2-report"/>
      </w:pPr>
      <w:r>
        <w:rPr>
          <w:noProof/>
          <w:sz w:val="26"/>
        </w:rPr>
        <mc:AlternateContent>
          <mc:Choice Requires="wps">
            <w:drawing>
              <wp:inline distT="0" distB="0" distL="0" distR="0" wp14:anchorId="4961C478" wp14:editId="077A7A1A">
                <wp:extent cx="742950" cy="742950"/>
                <wp:effectExtent l="0" t="0" r="19050" b="19050"/>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201547"/>
                        </a:solidFill>
                        <a:ln>
                          <a:solidFill>
                            <a:srgbClr val="201547"/>
                          </a:solidFill>
                        </a:ln>
                      </wps:spPr>
                      <wps:txbx>
                        <w:txbxContent>
                          <w:p w14:paraId="1006E8BB" w14:textId="77777777" w:rsidR="007F65C1" w:rsidRDefault="007F65C1" w:rsidP="007F65C1">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2</w:t>
                            </w:r>
                          </w:p>
                        </w:txbxContent>
                      </wps:txbx>
                      <wps:bodyPr rot="0" vert="horz" wrap="square" lIns="0" tIns="0" rIns="0" bIns="0" anchor="ctr" anchorCtr="0" upright="1">
                        <a:noAutofit/>
                      </wps:bodyPr>
                    </wps:wsp>
                  </a:graphicData>
                </a:graphic>
              </wp:inline>
            </w:drawing>
          </mc:Choice>
          <mc:Fallback>
            <w:pict>
              <v:oval w14:anchorId="4961C478" id="Oval 31" o:spid="_x0000_s1033" style="width:58.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" fillcolor="#201547" strokecolor="#201547">
                <v:textbox inset="0,0,0,0">
                  <w:txbxContent>
                    <w:p w14:paraId="1006E8BB" w14:textId="77777777" w:rsidR="007F65C1" w:rsidRDefault="007F65C1" w:rsidP="007F65C1">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2</w:t>
                      </w:r>
                    </w:p>
                  </w:txbxContent>
                </v:textbox>
                <w10:anchorlock/>
              </v:oval>
            </w:pict>
          </mc:Fallback>
        </mc:AlternateContent>
      </w:r>
    </w:p>
    <w:p w14:paraId="7F69E1B2" w14:textId="2FE291C7" w:rsidR="00092F77" w:rsidRDefault="00092F77" w:rsidP="00A44B19">
      <w:pPr>
        <w:pStyle w:val="Heading1-report"/>
      </w:pPr>
      <w:r>
        <w:t>Step 2: Assess</w:t>
      </w:r>
    </w:p>
    <w:p w14:paraId="1C045FFA" w14:textId="4D9747FE" w:rsidR="00092F77" w:rsidRDefault="00BF5492" w:rsidP="007D1C53">
      <w:pPr>
        <w:pStyle w:val="Heading2-report"/>
      </w:pPr>
      <w:r>
        <w:t>Question 1: What is</w:t>
      </w:r>
      <w:r w:rsidR="00092F77">
        <w:t xml:space="preserve"> the human rights context</w:t>
      </w:r>
      <w:r>
        <w:t>?</w:t>
      </w:r>
    </w:p>
    <w:p w14:paraId="4CAC6A06" w14:textId="60E9CD46" w:rsidR="00CF52B5" w:rsidRDefault="00092F77" w:rsidP="00092F77">
      <w:r>
        <w:t>Your decisions or non-decisions cannot be separated from the human rights context in Victoria’s mental health and wellbeing system. This context</w:t>
      </w:r>
      <w:r w:rsidR="00CF52B5">
        <w:t xml:space="preserve"> </w:t>
      </w:r>
      <w:r>
        <w:t xml:space="preserve">will play a big </w:t>
      </w:r>
      <w:r w:rsidR="003941E7">
        <w:t>part</w:t>
      </w:r>
      <w:r>
        <w:t xml:space="preserve"> in whether decisions or non-decisions have positive or negative human rights impacts. This context can include wide-spread power imbalances between mental health clinicians and consumers</w:t>
      </w:r>
      <w:r w:rsidRPr="00EB2274">
        <w:rPr>
          <w:rStyle w:val="FootnoteReference"/>
        </w:rPr>
        <w:footnoteReference w:id="23"/>
      </w:r>
      <w:r>
        <w:t xml:space="preserve"> as well as</w:t>
      </w:r>
      <w:r w:rsidR="00CF52B5">
        <w:t xml:space="preserve"> between clinicians and</w:t>
      </w:r>
      <w:r>
        <w:t xml:space="preserve"> consumer workers.</w:t>
      </w:r>
      <w:r w:rsidRPr="00EB2274">
        <w:rPr>
          <w:rStyle w:val="FootnoteReference"/>
        </w:rPr>
        <w:footnoteReference w:id="24"/>
      </w:r>
      <w:r>
        <w:t xml:space="preserve"> </w:t>
      </w:r>
    </w:p>
    <w:p w14:paraId="5171AA5F" w14:textId="0580D798" w:rsidR="006A78A0" w:rsidRDefault="00CF52B5" w:rsidP="00092F77">
      <w:r>
        <w:t>Within the mental health and wellbeing system, t</w:t>
      </w:r>
      <w:r w:rsidR="00092F77">
        <w:t xml:space="preserve">here are </w:t>
      </w:r>
      <w:r>
        <w:t xml:space="preserve">also </w:t>
      </w:r>
      <w:r w:rsidR="00092F77">
        <w:t>significant breaches of statutory informed consent obligations,</w:t>
      </w:r>
      <w:r w:rsidR="00092F77" w:rsidRPr="00EB2274">
        <w:rPr>
          <w:rStyle w:val="FootnoteReference"/>
        </w:rPr>
        <w:footnoteReference w:id="25"/>
      </w:r>
      <w:r w:rsidR="00092F77">
        <w:t xml:space="preserve"> highly variable </w:t>
      </w:r>
      <w:r w:rsidR="00C740E2">
        <w:t xml:space="preserve">approaches to the use of </w:t>
      </w:r>
      <w:r w:rsidR="00092F77">
        <w:t>restrictive practices amongst services,</w:t>
      </w:r>
      <w:r w:rsidR="00092F77" w:rsidRPr="00EB2274">
        <w:rPr>
          <w:rStyle w:val="FootnoteReference"/>
        </w:rPr>
        <w:footnoteReference w:id="26"/>
      </w:r>
      <w:r w:rsidR="00092F77">
        <w:t xml:space="preserve"> </w:t>
      </w:r>
      <w:r w:rsidR="007C2FFE">
        <w:t xml:space="preserve">and </w:t>
      </w:r>
      <w:r w:rsidR="00092F77">
        <w:t xml:space="preserve">sexual violence </w:t>
      </w:r>
      <w:r w:rsidR="00CD6A80">
        <w:t xml:space="preserve">is </w:t>
      </w:r>
      <w:r w:rsidR="00092F77">
        <w:t>experienced by women and gender diverse people</w:t>
      </w:r>
      <w:r w:rsidR="007C2FFE">
        <w:t>.</w:t>
      </w:r>
      <w:r w:rsidR="00092F77" w:rsidRPr="00EB2274">
        <w:rPr>
          <w:rStyle w:val="FootnoteReference"/>
        </w:rPr>
        <w:footnoteReference w:id="27"/>
      </w:r>
      <w:r w:rsidR="00092F77">
        <w:t xml:space="preserve"> </w:t>
      </w:r>
      <w:r w:rsidR="007C2FFE">
        <w:t xml:space="preserve">The system </w:t>
      </w:r>
      <w:r w:rsidR="00092F77">
        <w:t xml:space="preserve">is </w:t>
      </w:r>
      <w:r w:rsidR="007C2FFE">
        <w:t xml:space="preserve">often </w:t>
      </w:r>
      <w:r w:rsidR="00092F77">
        <w:t xml:space="preserve">not inclusive and safe for people from the LGBTIQ+ community, and often takes an overly biomedical approach that can reinforce stigma and human rights issues. </w:t>
      </w:r>
      <w:r w:rsidR="003F3A71">
        <w:t xml:space="preserve">Power imbalances </w:t>
      </w:r>
      <w:r w:rsidR="00C935D8">
        <w:t>between consumers and service providers are common.</w:t>
      </w:r>
    </w:p>
    <w:p w14:paraId="6C93F698" w14:textId="6E7653E9" w:rsidR="0092351C" w:rsidRDefault="00092F77" w:rsidP="00092F77">
      <w:r>
        <w:t>Carers have often reported being left out of processes regarding treatment and have not had their needs met.</w:t>
      </w:r>
      <w:r w:rsidRPr="00EB2274">
        <w:rPr>
          <w:rStyle w:val="FootnoteReference"/>
        </w:rPr>
        <w:footnoteReference w:id="28"/>
      </w:r>
      <w:r>
        <w:t xml:space="preserve"> Th</w:t>
      </w:r>
      <w:r w:rsidR="00983DE6">
        <w:t>e lack of family involvement</w:t>
      </w:r>
      <w:r>
        <w:t xml:space="preserve"> may be particularly important for Aboriginal Victorians who often place greater emphasis on family and kinship connections, which are reflected in Charter rights.</w:t>
      </w:r>
      <w:r w:rsidRPr="00EB2274">
        <w:rPr>
          <w:rStyle w:val="FootnoteReference"/>
        </w:rPr>
        <w:footnoteReference w:id="29"/>
      </w:r>
      <w:r>
        <w:t xml:space="preserve"> </w:t>
      </w:r>
    </w:p>
    <w:p w14:paraId="6CBB966C" w14:textId="3517D741" w:rsidR="0092351C" w:rsidRDefault="00092F77" w:rsidP="00092F77">
      <w:r>
        <w:t xml:space="preserve">Services also report that there are significant staff shortages on the ground and that this </w:t>
      </w:r>
      <w:r w:rsidR="00B328B3">
        <w:t xml:space="preserve">puts </w:t>
      </w:r>
      <w:r>
        <w:t xml:space="preserve">pressure </w:t>
      </w:r>
      <w:r w:rsidR="00B328B3">
        <w:t xml:space="preserve">on </w:t>
      </w:r>
      <w:r>
        <w:t xml:space="preserve">clinical decision-making. </w:t>
      </w:r>
    </w:p>
    <w:p w14:paraId="0DCAD87C" w14:textId="1A46E477" w:rsidR="00BC4FA0" w:rsidRDefault="00092F77" w:rsidP="00092F77">
      <w:r>
        <w:lastRenderedPageBreak/>
        <w:t>These are general considerations. It is important that you also consider the context that relates to your specific decision or mental health policy setting.</w:t>
      </w:r>
      <w:r w:rsidR="009A18DE">
        <w:t xml:space="preserve"> It will be crucial to consult with lived experience </w:t>
      </w:r>
      <w:r w:rsidR="0015513B">
        <w:t xml:space="preserve">experts </w:t>
      </w:r>
      <w:r w:rsidR="009A18DE">
        <w:t>to understand this context.</w:t>
      </w:r>
    </w:p>
    <w:p w14:paraId="1C41B268" w14:textId="58490D76" w:rsidR="00092F77" w:rsidRDefault="00BF5492" w:rsidP="007D1C53">
      <w:pPr>
        <w:pStyle w:val="Heading2-report"/>
      </w:pPr>
      <w:r>
        <w:t>Question 2: Are</w:t>
      </w:r>
      <w:r w:rsidR="00092F77">
        <w:t xml:space="preserve"> some rights limited or lacking</w:t>
      </w:r>
      <w:r>
        <w:t>?</w:t>
      </w:r>
    </w:p>
    <w:p w14:paraId="36B9E760" w14:textId="783CB6C7" w:rsidR="00D31CCA" w:rsidRDefault="00092F77" w:rsidP="00092F77">
      <w:r>
        <w:t>Once you have forecast and understood the context</w:t>
      </w:r>
      <w:r w:rsidR="0074605D">
        <w:t>,</w:t>
      </w:r>
      <w:r>
        <w:t xml:space="preserve"> consider what rights are already limited in your policy terrain, and what rights could be limited through your proposed decision or policy. At this stage, you may wish to list these rights, including whether they are already limited in the current context, and whether your proposed policy or decision further limits some rights. </w:t>
      </w:r>
    </w:p>
    <w:p w14:paraId="1F65F129" w14:textId="4FCEAAF3" w:rsidR="00092F77" w:rsidRPr="00C87067" w:rsidRDefault="00092F77" w:rsidP="00092F77">
      <w:r>
        <w:t xml:space="preserve">This needn’t be an overly cumbersome approach, with much of the thinking likely having emerged from your first step to </w:t>
      </w:r>
      <w:r>
        <w:rPr>
          <w:i/>
          <w:iCs/>
        </w:rPr>
        <w:t>Forecast</w:t>
      </w:r>
      <w:r>
        <w:t xml:space="preserve"> the implications of your decisions or policy.</w:t>
      </w:r>
      <w:r w:rsidR="00AB7E99">
        <w:br/>
      </w:r>
      <w:r w:rsidR="00AB7E99">
        <w:br/>
      </w:r>
    </w:p>
    <w:p w14:paraId="5B248696" w14:textId="77777777" w:rsidR="00905A67" w:rsidRDefault="00905A67">
      <w:pPr>
        <w:rPr>
          <w:b/>
          <w:bCs/>
          <w:color w:val="201547"/>
          <w:sz w:val="36"/>
          <w:szCs w:val="36"/>
        </w:rPr>
      </w:pPr>
      <w:r>
        <w:br w:type="page"/>
      </w:r>
    </w:p>
    <w:p w14:paraId="6CEF523B" w14:textId="18C1E0F8" w:rsidR="00AB7E99" w:rsidRDefault="00EB7979" w:rsidP="00092F77">
      <w:pPr>
        <w:pStyle w:val="Heading2-report"/>
      </w:pPr>
      <w:r>
        <w:rPr>
          <w:noProof/>
        </w:rPr>
        <w:lastRenderedPageBreak/>
        <w:drawing>
          <wp:anchor distT="0" distB="0" distL="114300" distR="114300" simplePos="0" relativeHeight="251658261" behindDoc="1" locked="0" layoutInCell="1" allowOverlap="1" wp14:anchorId="25058C25" wp14:editId="073A68E9">
            <wp:simplePos x="0" y="0"/>
            <wp:positionH relativeFrom="column">
              <wp:posOffset>4746247</wp:posOffset>
            </wp:positionH>
            <wp:positionV relativeFrom="paragraph">
              <wp:posOffset>-592455</wp:posOffset>
            </wp:positionV>
            <wp:extent cx="1835316" cy="1957493"/>
            <wp:effectExtent l="0" t="0" r="0" b="0"/>
            <wp:wrapNone/>
            <wp:docPr id="288" name="Picture 288" descr="A symbol of a person deci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symbol of a person deciding&#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409" r="1" b="69383"/>
                    <a:stretch/>
                  </pic:blipFill>
                  <pic:spPr bwMode="auto">
                    <a:xfrm>
                      <a:off x="0" y="0"/>
                      <a:ext cx="1837568" cy="195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E99">
        <w:rPr>
          <w:noProof/>
          <w:sz w:val="26"/>
        </w:rPr>
        <mc:AlternateContent>
          <mc:Choice Requires="wps">
            <w:drawing>
              <wp:inline distT="0" distB="0" distL="0" distR="0" wp14:anchorId="767A32E6" wp14:editId="48FFA1C2">
                <wp:extent cx="742950" cy="742950"/>
                <wp:effectExtent l="0" t="0" r="0" b="0"/>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201547"/>
                        </a:solidFill>
                        <a:ln>
                          <a:noFill/>
                        </a:ln>
                      </wps:spPr>
                      <wps:txbx>
                        <w:txbxContent>
                          <w:p w14:paraId="3C6622EC" w14:textId="7267A73E" w:rsidR="00AB7E99" w:rsidRDefault="00AB7E99" w:rsidP="00AB7E99">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3</w:t>
                            </w:r>
                          </w:p>
                          <w:p w14:paraId="2F7E2546" w14:textId="77777777" w:rsidR="00AB7E99" w:rsidRDefault="00AB7E99" w:rsidP="00AB7E99">
                            <w:pPr>
                              <w:spacing w:after="0"/>
                              <w:jc w:val="center"/>
                              <w:rPr>
                                <w:rFonts w:ascii="Arial" w:hAnsi="Arial" w:cs="Arial"/>
                                <w:b/>
                                <w:bCs/>
                                <w:color w:val="FFFFFF" w:themeColor="background1"/>
                                <w:sz w:val="72"/>
                                <w:szCs w:val="72"/>
                              </w:rPr>
                            </w:pPr>
                          </w:p>
                        </w:txbxContent>
                      </wps:txbx>
                      <wps:bodyPr rot="0" vert="horz" wrap="square" lIns="0" tIns="0" rIns="0" bIns="0" anchor="ctr" anchorCtr="0" upright="1">
                        <a:noAutofit/>
                      </wps:bodyPr>
                    </wps:wsp>
                  </a:graphicData>
                </a:graphic>
              </wp:inline>
            </w:drawing>
          </mc:Choice>
          <mc:Fallback>
            <w:pict>
              <v:oval w14:anchorId="767A32E6" id="Oval 17" o:spid="_x0000_s1034" style="width:58.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" fillcolor="#201547" stroked="f">
                <v:textbox inset="0,0,0,0">
                  <w:txbxContent>
                    <w:p w14:paraId="3C6622EC" w14:textId="7267A73E" w:rsidR="00AB7E99" w:rsidRDefault="00AB7E99" w:rsidP="00AB7E99">
                      <w:pPr>
                        <w:spacing w:after="0"/>
                        <w:jc w:val="center"/>
                        <w:rPr>
                          <w:rFonts w:ascii="Arial" w:hAnsi="Arial" w:cs="Arial"/>
                          <w:b/>
                          <w:bCs/>
                          <w:color w:val="FFFFFF" w:themeColor="background1"/>
                          <w:sz w:val="72"/>
                          <w:szCs w:val="72"/>
                        </w:rPr>
                      </w:pPr>
                      <w:r>
                        <w:rPr>
                          <w:rFonts w:ascii="Arial" w:hAnsi="Arial" w:cs="Arial"/>
                          <w:b/>
                          <w:bCs/>
                          <w:color w:val="FFFFFF" w:themeColor="background1"/>
                          <w:sz w:val="72"/>
                          <w:szCs w:val="72"/>
                        </w:rPr>
                        <w:t>3</w:t>
                      </w:r>
                    </w:p>
                    <w:p w14:paraId="2F7E2546" w14:textId="77777777" w:rsidR="00AB7E99" w:rsidRDefault="00AB7E99" w:rsidP="00AB7E99">
                      <w:pPr>
                        <w:spacing w:after="0"/>
                        <w:jc w:val="center"/>
                        <w:rPr>
                          <w:rFonts w:ascii="Arial" w:hAnsi="Arial" w:cs="Arial"/>
                          <w:b/>
                          <w:bCs/>
                          <w:color w:val="FFFFFF" w:themeColor="background1"/>
                          <w:sz w:val="72"/>
                          <w:szCs w:val="72"/>
                        </w:rPr>
                      </w:pPr>
                    </w:p>
                  </w:txbxContent>
                </v:textbox>
                <w10:anchorlock/>
              </v:oval>
            </w:pict>
          </mc:Fallback>
        </mc:AlternateContent>
      </w:r>
    </w:p>
    <w:p w14:paraId="24E18046" w14:textId="2A4D87E1" w:rsidR="00092F77" w:rsidRDefault="00092F77" w:rsidP="00A44B19">
      <w:pPr>
        <w:pStyle w:val="Heading1-report"/>
      </w:pPr>
      <w:r>
        <w:t>Step 3: Decide</w:t>
      </w:r>
    </w:p>
    <w:p w14:paraId="02ACD615" w14:textId="4C3CD931" w:rsidR="00534A54" w:rsidRDefault="00534A54" w:rsidP="00B45B9B">
      <w:pPr>
        <w:pStyle w:val="Heading2-report"/>
      </w:pPr>
      <w:r>
        <w:t xml:space="preserve">Question 1: how do we </w:t>
      </w:r>
      <w:r w:rsidR="00F8410A">
        <w:t xml:space="preserve">promote, </w:t>
      </w:r>
      <w:r>
        <w:t xml:space="preserve">comply with, </w:t>
      </w:r>
      <w:r w:rsidR="00F8410A">
        <w:t xml:space="preserve">and </w:t>
      </w:r>
      <w:r>
        <w:t>balance human rights?</w:t>
      </w:r>
    </w:p>
    <w:p w14:paraId="315D70BB" w14:textId="27A8F231" w:rsidR="005B1C04" w:rsidRDefault="006F569D" w:rsidP="005B1C04">
      <w:r>
        <w:t>When you are at the point of making a decision. Ensure that you can satisfy yourself that you have promoted, complied with and balanced human rights.</w:t>
      </w:r>
    </w:p>
    <w:p w14:paraId="7039F640" w14:textId="52CCBC23" w:rsidR="006F569D" w:rsidRDefault="006F569D" w:rsidP="00705BED">
      <w:pPr>
        <w:pStyle w:val="Heading3-report"/>
      </w:pPr>
      <w:r w:rsidRPr="00EB7979">
        <w:rPr>
          <w:i/>
          <w:iCs/>
        </w:rPr>
        <w:t>Promoting</w:t>
      </w:r>
      <w:r>
        <w:t xml:space="preserve"> human rights</w:t>
      </w:r>
    </w:p>
    <w:p w14:paraId="14A78AE6" w14:textId="7F0A4E5D" w:rsidR="006F569D" w:rsidRDefault="006F569D" w:rsidP="006F569D">
      <w:r>
        <w:t>In making your decision</w:t>
      </w:r>
      <w:r w:rsidR="00683D7E">
        <w:t>, consider whether you have taken the opportunity to promote human</w:t>
      </w:r>
      <w:r w:rsidR="008C0203">
        <w:t xml:space="preserve"> rights. This could be by:</w:t>
      </w:r>
    </w:p>
    <w:p w14:paraId="62AAEBB4" w14:textId="5FC49862" w:rsidR="008C0203" w:rsidRDefault="6D69D0D5" w:rsidP="00E225B4">
      <w:pPr>
        <w:pStyle w:val="ListParagraph"/>
        <w:numPr>
          <w:ilvl w:val="0"/>
          <w:numId w:val="49"/>
        </w:numPr>
      </w:pPr>
      <w:r>
        <w:t>highlighting the importance of specific human rights, or</w:t>
      </w:r>
    </w:p>
    <w:p w14:paraId="2808AF82" w14:textId="2CB4DB85" w:rsidR="008C0203" w:rsidRDefault="6D69D0D5" w:rsidP="00E225B4">
      <w:pPr>
        <w:pStyle w:val="ListParagraph"/>
        <w:numPr>
          <w:ilvl w:val="0"/>
          <w:numId w:val="49"/>
        </w:numPr>
      </w:pPr>
      <w:r>
        <w:t>creating incentives for service providers or other bodies to comply with human rights.</w:t>
      </w:r>
    </w:p>
    <w:p w14:paraId="14495E26" w14:textId="19C933D2" w:rsidR="008C0203" w:rsidRPr="000A4CB9" w:rsidRDefault="000A4CB9" w:rsidP="00705BED">
      <w:pPr>
        <w:pStyle w:val="Heading3-report"/>
      </w:pPr>
      <w:r w:rsidRPr="00EB7979">
        <w:rPr>
          <w:i/>
          <w:iCs/>
        </w:rPr>
        <w:t>Comply</w:t>
      </w:r>
      <w:r>
        <w:t xml:space="preserve"> with and </w:t>
      </w:r>
      <w:r w:rsidRPr="00EB7979">
        <w:rPr>
          <w:i/>
          <w:iCs/>
        </w:rPr>
        <w:t>balance</w:t>
      </w:r>
      <w:r>
        <w:t xml:space="preserve"> human rights</w:t>
      </w:r>
    </w:p>
    <w:p w14:paraId="2DAF446D" w14:textId="58D96439" w:rsidR="002A79F4" w:rsidRDefault="00092F77" w:rsidP="00534A54">
      <w:r>
        <w:t>Consider how your decisions today can ensure compliance with human rights</w:t>
      </w:r>
      <w:r w:rsidR="002D3BF0">
        <w:t xml:space="preserve"> as well as</w:t>
      </w:r>
      <w:r>
        <w:t xml:space="preserve"> balance them with other rights and interests</w:t>
      </w:r>
      <w:r w:rsidR="00534A54">
        <w:t>.</w:t>
      </w:r>
      <w:r w:rsidR="00EB7979">
        <w:t xml:space="preserve"> Your policy may just promote </w:t>
      </w:r>
      <w:r w:rsidR="00083EE1">
        <w:t>rights and not limit or need to balance rights, in which case you can ignore this step.</w:t>
      </w:r>
    </w:p>
    <w:p w14:paraId="43E2450D" w14:textId="63DFD3CD" w:rsidR="007F32ED" w:rsidRDefault="002D3BF0" w:rsidP="007F32ED">
      <w:r>
        <w:t xml:space="preserve">If you believe that some rights might be limited or need to be balanced against other rights and interests, you need to consider </w:t>
      </w:r>
      <w:r>
        <w:rPr>
          <w:b/>
          <w:bCs/>
        </w:rPr>
        <w:t xml:space="preserve">section 7(2) </w:t>
      </w:r>
      <w:r>
        <w:t>of the Charter. Rather than repeat th</w:t>
      </w:r>
      <w:r w:rsidR="00B92DB1">
        <w:t>e wording in that legislation, we provide the following questions for you to ask if you are unsure about a limitation or balancing of rights</w:t>
      </w:r>
      <w:r w:rsidR="007F32ED">
        <w:t>.</w:t>
      </w:r>
      <w:r w:rsidR="009637D7">
        <w:t xml:space="preserve"> Victorian courts don’t expect you to </w:t>
      </w:r>
      <w:r w:rsidR="001830A8">
        <w:t xml:space="preserve">be an expert or that there is necessarily one single approach. They do, however, require that you show you have thought about </w:t>
      </w:r>
      <w:r w:rsidR="00D8454F">
        <w:t>these considerations.</w:t>
      </w:r>
    </w:p>
    <w:p w14:paraId="79F15753" w14:textId="69147385" w:rsidR="00393448" w:rsidRDefault="00627314">
      <w:pPr>
        <w:rPr>
          <w:rFonts w:ascii="Calibri" w:eastAsia="Times New Roman" w:hAnsi="Calibri" w:cs="Calibri"/>
          <w:b/>
          <w:color w:val="201547"/>
          <w:szCs w:val="24"/>
          <w:lang w:eastAsia="en-AU"/>
        </w:rPr>
      </w:pPr>
      <w:r>
        <w:rPr>
          <w:noProof/>
        </w:rPr>
        <w:drawing>
          <wp:anchor distT="0" distB="0" distL="114300" distR="114300" simplePos="0" relativeHeight="251661339" behindDoc="0" locked="0" layoutInCell="1" allowOverlap="1" wp14:anchorId="5A784792" wp14:editId="3E5CA5E7">
            <wp:simplePos x="0" y="0"/>
            <wp:positionH relativeFrom="page">
              <wp:posOffset>0</wp:posOffset>
            </wp:positionH>
            <wp:positionV relativeFrom="paragraph">
              <wp:posOffset>339725</wp:posOffset>
            </wp:positionV>
            <wp:extent cx="7566704" cy="2882554"/>
            <wp:effectExtent l="0" t="0" r="0" b="0"/>
            <wp:wrapNone/>
            <wp:docPr id="93629294" name="Picture 4" descr="An infographic with these five high-level steps (further explained in text next page):&#10;&#10;What rights?&#10;Why?&#10;How much?&#10;Effective?&#10;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9294" name="Picture 4" descr="An infographic with these five high-level steps (further explained in text next page):&#10;&#10;What rights?&#10;Why?&#10;How much?&#10;Effective?&#10;Alternative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566704" cy="2882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448">
        <w:br w:type="page"/>
      </w:r>
    </w:p>
    <w:p w14:paraId="1EE3B48C" w14:textId="7058C433" w:rsidR="007F32ED" w:rsidRDefault="007F32ED" w:rsidP="007F32ED">
      <w:pPr>
        <w:pStyle w:val="Heading4"/>
      </w:pPr>
      <w:r>
        <w:lastRenderedPageBreak/>
        <w:t>What</w:t>
      </w:r>
      <w:r w:rsidR="00D8454F">
        <w:t xml:space="preserve"> human</w:t>
      </w:r>
      <w:r>
        <w:t xml:space="preserve"> right is being limited or balanced?</w:t>
      </w:r>
      <w:r w:rsidR="00736752">
        <w:t xml:space="preserve"> (what rights?)</w:t>
      </w:r>
    </w:p>
    <w:p w14:paraId="1E28590D" w14:textId="25EF2185" w:rsidR="007F32ED" w:rsidRDefault="007F32ED" w:rsidP="007F32ED">
      <w:pPr>
        <w:rPr>
          <w:lang w:eastAsia="en-AU"/>
        </w:rPr>
      </w:pPr>
      <w:r>
        <w:rPr>
          <w:lang w:eastAsia="en-AU"/>
        </w:rPr>
        <w:t>Under international human rights law, some human rights are given greater weight than others. For example, if you are balancing the right to property against the right against torture, the latter should be given greater significance. If you are unsure</w:t>
      </w:r>
      <w:r w:rsidR="00590855">
        <w:rPr>
          <w:lang w:eastAsia="en-AU"/>
        </w:rPr>
        <w:t xml:space="preserve"> you can</w:t>
      </w:r>
      <w:r>
        <w:rPr>
          <w:lang w:eastAsia="en-AU"/>
        </w:rPr>
        <w:t xml:space="preserve"> read </w:t>
      </w:r>
      <w:r w:rsidR="00590855">
        <w:rPr>
          <w:lang w:eastAsia="en-AU"/>
        </w:rPr>
        <w:t xml:space="preserve">more </w:t>
      </w:r>
      <w:r>
        <w:rPr>
          <w:lang w:eastAsia="en-AU"/>
        </w:rPr>
        <w:t>about the</w:t>
      </w:r>
      <w:r w:rsidR="00590855">
        <w:rPr>
          <w:lang w:eastAsia="en-AU"/>
        </w:rPr>
        <w:t xml:space="preserve"> individual</w:t>
      </w:r>
      <w:r>
        <w:rPr>
          <w:lang w:eastAsia="en-AU"/>
        </w:rPr>
        <w:t xml:space="preserve"> rights </w:t>
      </w:r>
      <w:r w:rsidR="00E81855">
        <w:rPr>
          <w:lang w:eastAsia="en-AU"/>
        </w:rPr>
        <w:t>in the</w:t>
      </w:r>
      <w:r w:rsidR="00590855">
        <w:rPr>
          <w:lang w:eastAsia="en-AU"/>
        </w:rPr>
        <w:t xml:space="preserve"> separate</w:t>
      </w:r>
      <w:r w:rsidR="00E81855">
        <w:rPr>
          <w:lang w:eastAsia="en-AU"/>
        </w:rPr>
        <w:t xml:space="preserve"> </w:t>
      </w:r>
      <w:r w:rsidR="0058787B">
        <w:rPr>
          <w:i/>
          <w:iCs/>
          <w:lang w:eastAsia="en-AU"/>
        </w:rPr>
        <w:t xml:space="preserve">Applying human rights </w:t>
      </w:r>
      <w:r w:rsidR="0058787B">
        <w:rPr>
          <w:lang w:eastAsia="en-AU"/>
        </w:rPr>
        <w:t>appendix</w:t>
      </w:r>
      <w:r w:rsidR="004C4A1B">
        <w:rPr>
          <w:lang w:eastAsia="en-AU"/>
        </w:rPr>
        <w:t>s</w:t>
      </w:r>
      <w:r w:rsidR="00E81855">
        <w:rPr>
          <w:lang w:eastAsia="en-AU"/>
        </w:rPr>
        <w:t>.</w:t>
      </w:r>
    </w:p>
    <w:p w14:paraId="01BA08BD" w14:textId="1A556F26" w:rsidR="009637D7" w:rsidRDefault="009637D7" w:rsidP="009637D7">
      <w:pPr>
        <w:pStyle w:val="Heading4"/>
      </w:pPr>
      <w:r>
        <w:t xml:space="preserve">If someone is proposing a </w:t>
      </w:r>
      <w:r w:rsidR="00D8454F">
        <w:t xml:space="preserve">human </w:t>
      </w:r>
      <w:r>
        <w:t xml:space="preserve">right should be limited, how important is the </w:t>
      </w:r>
      <w:r w:rsidR="007269BB">
        <w:t>purpose</w:t>
      </w:r>
      <w:r>
        <w:t xml:space="preserve"> </w:t>
      </w:r>
      <w:r w:rsidR="007269BB">
        <w:t>behind that limitation</w:t>
      </w:r>
      <w:r>
        <w:t>?</w:t>
      </w:r>
      <w:r w:rsidR="00736752">
        <w:t xml:space="preserve"> (Why?)</w:t>
      </w:r>
    </w:p>
    <w:p w14:paraId="2F80B78B" w14:textId="419A10EA" w:rsidR="009637D7" w:rsidRDefault="00DE7DAF" w:rsidP="009637D7">
      <w:pPr>
        <w:rPr>
          <w:lang w:eastAsia="en-AU"/>
        </w:rPr>
      </w:pPr>
      <w:r>
        <w:rPr>
          <w:lang w:eastAsia="en-AU"/>
        </w:rPr>
        <w:t xml:space="preserve">Sometimes limiting rights is necessary. However, sometimes it isn’t. Decision-makers, including those in mental health systems, often limit rights because this is ‘the way things are done’ or </w:t>
      </w:r>
      <w:r w:rsidR="002102A8">
        <w:rPr>
          <w:lang w:eastAsia="en-AU"/>
        </w:rPr>
        <w:t>for reasons that are no longer necessary. Be conscious of how important the reason for any limitation is.</w:t>
      </w:r>
    </w:p>
    <w:p w14:paraId="1A8266B9" w14:textId="4094960A" w:rsidR="00372592" w:rsidRDefault="00372592" w:rsidP="00372592">
      <w:pPr>
        <w:pStyle w:val="Heading4"/>
      </w:pPr>
      <w:r>
        <w:t xml:space="preserve">If someone is proposing a human right should be limited, how </w:t>
      </w:r>
      <w:r w:rsidR="0060257A">
        <w:t>much is the right being limited</w:t>
      </w:r>
      <w:r>
        <w:t>?</w:t>
      </w:r>
      <w:r w:rsidR="00736752">
        <w:t xml:space="preserve"> (How much?)</w:t>
      </w:r>
    </w:p>
    <w:p w14:paraId="28800876" w14:textId="1C7CCB33" w:rsidR="0060257A" w:rsidRDefault="0060257A" w:rsidP="0060257A">
      <w:pPr>
        <w:rPr>
          <w:lang w:eastAsia="en-AU"/>
        </w:rPr>
      </w:pPr>
      <w:r>
        <w:rPr>
          <w:lang w:eastAsia="en-AU"/>
        </w:rPr>
        <w:t xml:space="preserve">Human rights can be limited to varying degrees. Not being able to enter </w:t>
      </w:r>
      <w:r w:rsidR="00B875D9">
        <w:rPr>
          <w:lang w:eastAsia="en-AU"/>
        </w:rPr>
        <w:t>a staff member’s office is a slight restriction on the freedom of movement. Not being</w:t>
      </w:r>
      <w:r w:rsidR="007269BB">
        <w:rPr>
          <w:lang w:eastAsia="en-AU"/>
        </w:rPr>
        <w:t xml:space="preserve"> able to leave an inpatient unit is a more substantial restriction on this human right. Not being able to leave a seclusion room is an even more significant restriction. Consider how much a right is being restricted.</w:t>
      </w:r>
    </w:p>
    <w:p w14:paraId="3F415AEA" w14:textId="2347C05E" w:rsidR="007269BB" w:rsidRDefault="007269BB" w:rsidP="007269BB">
      <w:pPr>
        <w:pStyle w:val="Heading4"/>
      </w:pPr>
      <w:r>
        <w:t>If someone is proposing a human right should be limited, does th</w:t>
      </w:r>
      <w:r w:rsidR="009554BE">
        <w:t>at</w:t>
      </w:r>
      <w:r>
        <w:t xml:space="preserve"> limitation actually achieve the purpose in mind?</w:t>
      </w:r>
      <w:r w:rsidR="00736752">
        <w:t xml:space="preserve"> (Effective?)</w:t>
      </w:r>
    </w:p>
    <w:p w14:paraId="07148A3B" w14:textId="185E022B" w:rsidR="007269BB" w:rsidRDefault="6D69D0D5" w:rsidP="007269BB">
      <w:pPr>
        <w:rPr>
          <w:lang w:eastAsia="en-AU"/>
        </w:rPr>
      </w:pPr>
      <w:r w:rsidRPr="6D69D0D5">
        <w:rPr>
          <w:lang w:eastAsia="en-AU"/>
        </w:rPr>
        <w:t>To consider this in the context of one example: Many mental health services continue to maintain locked wards with the aim of preventing ‘absconding’ (leaving without the approval of the mental health service). This is despite questionable and thin evidence that it prevents absconding.</w:t>
      </w:r>
      <w:r w:rsidR="001131D7" w:rsidRPr="00EB2274">
        <w:rPr>
          <w:rStyle w:val="FootnoteReference"/>
        </w:rPr>
        <w:footnoteReference w:id="30"/>
      </w:r>
      <w:r w:rsidRPr="6D69D0D5">
        <w:rPr>
          <w:lang w:eastAsia="en-AU"/>
        </w:rPr>
        <w:t xml:space="preserve"> This is a reminder to ask whether the limitation of rights (freedom of movement) is achieving the purpose (preventing absconding). </w:t>
      </w:r>
    </w:p>
    <w:p w14:paraId="701598F4" w14:textId="0051B0C6" w:rsidR="00C562CB" w:rsidRDefault="00C562CB" w:rsidP="00C562CB">
      <w:pPr>
        <w:pStyle w:val="Heading4"/>
      </w:pPr>
      <w:r>
        <w:t xml:space="preserve">Are there less restrictive ways to </w:t>
      </w:r>
      <w:r w:rsidR="00AF2B41">
        <w:t>achieve the purpose in mind?</w:t>
      </w:r>
      <w:r w:rsidR="00736752">
        <w:t xml:space="preserve"> (Alternatives?)</w:t>
      </w:r>
    </w:p>
    <w:p w14:paraId="5BB99491" w14:textId="20FEF175" w:rsidR="00AF2B41" w:rsidRPr="0091262D" w:rsidRDefault="00EB7979" w:rsidP="00705BED">
      <w:r>
        <w:t>If you want to create safety in mental health wards, greater investment in restrictive practices will be an unnecessary investment in this purpose. Programs such as SafeWards and hundreds of other documented approaches represent less restrictive ways to provide quality mental health and wellbeing care and safety. Ensure that the proposed approach is the least restrictive on people’s rights possible.</w:t>
      </w:r>
    </w:p>
    <w:p w14:paraId="16BEDAD3" w14:textId="5BD57180" w:rsidR="00393448" w:rsidRDefault="00393448">
      <w:pPr>
        <w:rPr>
          <w:b/>
          <w:bCs/>
          <w:color w:val="201547"/>
          <w:sz w:val="36"/>
          <w:szCs w:val="36"/>
        </w:rPr>
      </w:pPr>
      <w:r>
        <w:br w:type="page"/>
      </w:r>
    </w:p>
    <w:p w14:paraId="0746D5B5" w14:textId="76758D69" w:rsidR="00D3746F" w:rsidRPr="00FB5AEC" w:rsidRDefault="00D3746F" w:rsidP="00B45B9B">
      <w:pPr>
        <w:pStyle w:val="Heading2-report"/>
      </w:pPr>
      <w:r w:rsidRPr="00FB5AEC">
        <w:lastRenderedPageBreak/>
        <w:t>Question 2: Did we record our decision-making?</w:t>
      </w:r>
    </w:p>
    <w:p w14:paraId="08BA9E4D" w14:textId="639774F7" w:rsidR="000C191C" w:rsidRDefault="000C191C" w:rsidP="00092F77">
      <w:r>
        <w:t xml:space="preserve">One of the central issues with the Charter has been that public authorities have shown little consideration </w:t>
      </w:r>
      <w:r w:rsidR="008F3460">
        <w:t xml:space="preserve">of </w:t>
      </w:r>
      <w:r>
        <w:t xml:space="preserve">human rights in their daily practice. Ensure that you record, wherever possible, how you have considered human rights in your decision-making. This </w:t>
      </w:r>
      <w:r w:rsidR="00CD53B2">
        <w:t xml:space="preserve">record-keeping </w:t>
      </w:r>
      <w:r>
        <w:t>applies not just to</w:t>
      </w:r>
      <w:r w:rsidR="0039592B">
        <w:t xml:space="preserve"> ‘</w:t>
      </w:r>
      <w:r>
        <w:t>final</w:t>
      </w:r>
      <w:r w:rsidR="0039592B">
        <w:t>’</w:t>
      </w:r>
      <w:r>
        <w:t xml:space="preserve"> points of decision-making at the highest levels of government, but the routine decisions that you make on a day-to-day basis. Many of them, when you stop to think about it, engage human rights.</w:t>
      </w:r>
      <w:r w:rsidR="00CD53B2">
        <w:t xml:space="preserve"> Again, your approach to record-keeping need not be onerous</w:t>
      </w:r>
      <w:r w:rsidR="009374A1">
        <w:t xml:space="preserve"> and</w:t>
      </w:r>
      <w:r w:rsidR="00CD53B2">
        <w:t xml:space="preserve"> should align with your general obligations under the </w:t>
      </w:r>
      <w:r w:rsidR="009374A1">
        <w:rPr>
          <w:i/>
          <w:iCs/>
        </w:rPr>
        <w:t xml:space="preserve">Public Records Act 1973 </w:t>
      </w:r>
      <w:r w:rsidR="009374A1">
        <w:t>(Vic).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092F77" w14:paraId="5C9ABA67" w14:textId="77777777" w:rsidTr="007D4A3D">
        <w:tc>
          <w:tcPr>
            <w:tcW w:w="9016" w:type="dxa"/>
            <w:tcBorders>
              <w:top w:val="thickThinSmallGap" w:sz="24" w:space="0" w:color="201547"/>
              <w:bottom w:val="thickThinSmallGap" w:sz="24" w:space="0" w:color="201547"/>
            </w:tcBorders>
            <w:shd w:val="clear" w:color="auto" w:fill="F2F2F2" w:themeFill="background1" w:themeFillShade="F2"/>
          </w:tcPr>
          <w:p w14:paraId="4A00955B" w14:textId="46A4BB53" w:rsidR="007D4A3D" w:rsidRPr="007D4A3D" w:rsidRDefault="007D4A3D" w:rsidP="007D4A3D"/>
          <w:p w14:paraId="0959B461" w14:textId="0112D1A0" w:rsidR="00092F77" w:rsidRDefault="00092F77" w:rsidP="007D4A3D">
            <w:pPr>
              <w:pStyle w:val="Heading3-report"/>
              <w:jc w:val="center"/>
            </w:pPr>
            <w:r>
              <w:t>REMINDER</w:t>
            </w:r>
          </w:p>
          <w:p w14:paraId="44C97ED0" w14:textId="50AF621D" w:rsidR="00092F77" w:rsidRDefault="00092F77" w:rsidP="00AE59AF">
            <w:pPr>
              <w:jc w:val="center"/>
            </w:pPr>
            <w:r>
              <w:t xml:space="preserve">A ‘non-decision’ (a failure to act) as well as an intentional decision, </w:t>
            </w:r>
            <w:r w:rsidR="00BE210B">
              <w:br/>
            </w:r>
            <w:r>
              <w:t>can result in a breach of human rights.</w:t>
            </w:r>
            <w:r w:rsidRPr="00EB2274">
              <w:rPr>
                <w:rStyle w:val="FootnoteReference"/>
              </w:rPr>
              <w:footnoteReference w:id="31"/>
            </w:r>
          </w:p>
          <w:p w14:paraId="5169A2E3" w14:textId="65428A88" w:rsidR="007D4A3D" w:rsidRDefault="007D4A3D" w:rsidP="00AE59AF">
            <w:pPr>
              <w:jc w:val="center"/>
            </w:pPr>
          </w:p>
        </w:tc>
      </w:tr>
    </w:tbl>
    <w:p w14:paraId="4F7A7FC3" w14:textId="470410C4" w:rsidR="00CD42BD" w:rsidRDefault="00CD42BD" w:rsidP="00327217">
      <w:pPr>
        <w:pStyle w:val="Heading1-report"/>
      </w:pPr>
    </w:p>
    <w:p w14:paraId="0B01F450" w14:textId="18715946" w:rsidR="00EB7979" w:rsidRPr="00EB7979" w:rsidRDefault="00EB7979" w:rsidP="00705BED">
      <w:pPr>
        <w:rPr>
          <w:b/>
          <w:bCs/>
        </w:rPr>
        <w:sectPr w:rsidR="00EB7979" w:rsidRPr="00EB7979" w:rsidSect="00B161AE">
          <w:pgSz w:w="11906" w:h="16838"/>
          <w:pgMar w:top="1701" w:right="1418" w:bottom="1440" w:left="1418" w:header="709" w:footer="709"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01547"/>
        <w:tblLook w:val="04A0" w:firstRow="1" w:lastRow="0" w:firstColumn="1" w:lastColumn="0" w:noHBand="0" w:noVBand="1"/>
      </w:tblPr>
      <w:tblGrid>
        <w:gridCol w:w="9060"/>
      </w:tblGrid>
      <w:tr w:rsidR="00092F77" w14:paraId="112D4357" w14:textId="77777777" w:rsidTr="00FB5AEC">
        <w:tc>
          <w:tcPr>
            <w:tcW w:w="9060" w:type="dxa"/>
            <w:tcBorders>
              <w:top w:val="thickThinSmallGap" w:sz="24" w:space="0" w:color="201547"/>
              <w:bottom w:val="thickThinSmallGap" w:sz="24" w:space="0" w:color="201547"/>
            </w:tcBorders>
            <w:shd w:val="clear" w:color="auto" w:fill="201547"/>
            <w:hideMark/>
          </w:tcPr>
          <w:p w14:paraId="3523B6B6" w14:textId="0C475747" w:rsidR="00092F77" w:rsidRDefault="00A7484B" w:rsidP="00AE59AF">
            <w:pPr>
              <w:spacing w:after="160"/>
              <w:rPr>
                <w:b/>
                <w:bCs/>
                <w:sz w:val="28"/>
                <w:szCs w:val="28"/>
              </w:rPr>
            </w:pPr>
            <w:r>
              <w:rPr>
                <w:b/>
                <w:bCs/>
                <w:sz w:val="28"/>
                <w:szCs w:val="28"/>
              </w:rPr>
              <w:lastRenderedPageBreak/>
              <w:t xml:space="preserve">Summary: </w:t>
            </w:r>
            <w:r w:rsidR="6D69D0D5" w:rsidRPr="6D69D0D5">
              <w:rPr>
                <w:b/>
                <w:bCs/>
                <w:sz w:val="28"/>
                <w:szCs w:val="28"/>
              </w:rPr>
              <w:t>What the law says—Public authority obligations</w:t>
            </w:r>
          </w:p>
          <w:p w14:paraId="643AC7BD" w14:textId="62AF1A31" w:rsidR="000B7A8C" w:rsidRDefault="6D69D0D5" w:rsidP="008544D0">
            <w:pPr>
              <w:pStyle w:val="ListParagraph"/>
              <w:spacing w:after="160"/>
              <w:ind w:left="0"/>
            </w:pPr>
            <w:r w:rsidRPr="6D69D0D5">
              <w:rPr>
                <w:rStyle w:val="Strong"/>
                <w:b w:val="0"/>
                <w:bCs w:val="0"/>
              </w:rPr>
              <w:t>Public authorities with legal obligations under the Charter include the minister, the department, public service employees, public hospitals, statutory authorities and Victorian Government funded services delivered by the community or private sectors</w:t>
            </w:r>
            <w:r w:rsidR="000B7A8C">
              <w:rPr>
                <w:rStyle w:val="Strong"/>
                <w:b w:val="0"/>
                <w:bCs w:val="0"/>
              </w:rPr>
              <w:t>.</w:t>
            </w:r>
            <w:r w:rsidR="000B7A8C" w:rsidRPr="00EB2274">
              <w:rPr>
                <w:rStyle w:val="FootnoteReference"/>
              </w:rPr>
              <w:footnoteReference w:id="32"/>
            </w:r>
          </w:p>
          <w:p w14:paraId="6485CF8B" w14:textId="3E0D8643" w:rsidR="000B7A8C" w:rsidRPr="00FC314D" w:rsidRDefault="000B7A8C" w:rsidP="000B7A8C">
            <w:pPr>
              <w:spacing w:after="160"/>
              <w:rPr>
                <w:rStyle w:val="Strong"/>
                <w:b w:val="0"/>
                <w:bCs w:val="0"/>
              </w:rPr>
            </w:pPr>
            <w:r>
              <w:t>Australian Government departments and agencies, Commonwealth-funded services, and private entities delivering private services, do not have legal obligations under the Charter.</w:t>
            </w:r>
          </w:p>
          <w:p w14:paraId="74A9C76C" w14:textId="77777777" w:rsidR="00B82A7B" w:rsidRPr="00B82A7B" w:rsidRDefault="00B82A7B">
            <w:pPr>
              <w:spacing w:after="160"/>
              <w:rPr>
                <w:rStyle w:val="Strong"/>
              </w:rPr>
            </w:pPr>
            <w:r w:rsidRPr="00B82A7B">
              <w:rPr>
                <w:rStyle w:val="Strong"/>
              </w:rPr>
              <w:t>What are public authorities required to do?</w:t>
            </w:r>
          </w:p>
          <w:p w14:paraId="60B4BF6C" w14:textId="05A4FC80" w:rsidR="00092F77" w:rsidRPr="00FC314D" w:rsidRDefault="00092F77" w:rsidP="6D69D0D5">
            <w:pPr>
              <w:spacing w:after="160"/>
              <w:rPr>
                <w:rStyle w:val="Strong"/>
                <w:b w:val="0"/>
                <w:bCs w:val="0"/>
              </w:rPr>
            </w:pPr>
            <w:r w:rsidRPr="00FC314D">
              <w:rPr>
                <w:rStyle w:val="Strong"/>
                <w:b w:val="0"/>
                <w:bCs w:val="0"/>
              </w:rPr>
              <w:t>Under section 38(1), the Charter makes it ‘unlawful for a public authority to act in a way that is incompatible with a human right, or in making a decision, to fail to give proper consideration to a relevant human right.’</w:t>
            </w:r>
            <w:r w:rsidRPr="00EB2274">
              <w:rPr>
                <w:rStyle w:val="FootnoteReference"/>
              </w:rPr>
              <w:footnoteReference w:id="33"/>
            </w:r>
            <w:r w:rsidRPr="00FC314D">
              <w:rPr>
                <w:rStyle w:val="Strong"/>
                <w:b w:val="0"/>
                <w:bCs w:val="0"/>
              </w:rPr>
              <w:t xml:space="preserve"> </w:t>
            </w:r>
          </w:p>
          <w:p w14:paraId="696DF005" w14:textId="295AF134" w:rsidR="00092F77" w:rsidRPr="00FC314D" w:rsidRDefault="6D69D0D5" w:rsidP="00AE59AF">
            <w:pPr>
              <w:spacing w:after="160"/>
              <w:rPr>
                <w:rStyle w:val="Strong"/>
                <w:b w:val="0"/>
                <w:bCs w:val="0"/>
              </w:rPr>
            </w:pPr>
            <w:r w:rsidRPr="6D69D0D5">
              <w:rPr>
                <w:rStyle w:val="Strong"/>
                <w:b w:val="0"/>
                <w:bCs w:val="0"/>
              </w:rPr>
              <w:t>You can only limit rights in defined ways. Section 7(2) sets out this statutory test by stating:</w:t>
            </w:r>
          </w:p>
          <w:p w14:paraId="23F9B106" w14:textId="15EE3B2D" w:rsidR="00EF12AF" w:rsidRPr="00FC314D" w:rsidRDefault="00092F77" w:rsidP="00EC1C17">
            <w:pPr>
              <w:spacing w:after="160"/>
              <w:ind w:left="720"/>
              <w:rPr>
                <w:rStyle w:val="Strong"/>
                <w:b w:val="0"/>
                <w:bCs w:val="0"/>
                <w:sz w:val="22"/>
                <w:szCs w:val="20"/>
              </w:rPr>
            </w:pPr>
            <w:r w:rsidRPr="00FC314D">
              <w:rPr>
                <w:rStyle w:val="Strong"/>
                <w:b w:val="0"/>
                <w:bCs w:val="0"/>
                <w:sz w:val="22"/>
                <w:szCs w:val="20"/>
              </w:rPr>
              <w:t xml:space="preserve">A human right may be subject under law only to such reasonable limits as can be demonstrably justified in a free and democratic society based on human dignity, equality and freedom, and taking into account all relevant factors including: </w:t>
            </w:r>
          </w:p>
          <w:p w14:paraId="775EEBE7" w14:textId="77777777" w:rsidR="00092F77" w:rsidRPr="00FC314D" w:rsidRDefault="00092F77" w:rsidP="00EF12AF">
            <w:pPr>
              <w:spacing w:before="360" w:after="160"/>
              <w:ind w:left="720"/>
              <w:rPr>
                <w:rStyle w:val="Strong"/>
                <w:b w:val="0"/>
                <w:bCs w:val="0"/>
                <w:sz w:val="22"/>
                <w:szCs w:val="20"/>
              </w:rPr>
            </w:pPr>
            <w:r w:rsidRPr="00FC314D">
              <w:rPr>
                <w:rStyle w:val="Strong"/>
                <w:b w:val="0"/>
                <w:bCs w:val="0"/>
                <w:sz w:val="22"/>
                <w:szCs w:val="20"/>
              </w:rPr>
              <w:t xml:space="preserve">(a) the nature of the right; and </w:t>
            </w:r>
          </w:p>
          <w:p w14:paraId="0F8D05AA" w14:textId="77777777" w:rsidR="00092F77" w:rsidRPr="00FC314D" w:rsidRDefault="00092F77" w:rsidP="00AE59AF">
            <w:pPr>
              <w:spacing w:after="160"/>
              <w:ind w:left="720"/>
              <w:rPr>
                <w:rStyle w:val="Strong"/>
                <w:b w:val="0"/>
                <w:bCs w:val="0"/>
                <w:sz w:val="22"/>
                <w:szCs w:val="20"/>
              </w:rPr>
            </w:pPr>
            <w:r w:rsidRPr="00FC314D">
              <w:rPr>
                <w:rStyle w:val="Strong"/>
                <w:b w:val="0"/>
                <w:bCs w:val="0"/>
                <w:sz w:val="22"/>
                <w:szCs w:val="20"/>
              </w:rPr>
              <w:t xml:space="preserve">(b) the importance of the purpose of the limitation; and </w:t>
            </w:r>
          </w:p>
          <w:p w14:paraId="301F1144" w14:textId="77777777" w:rsidR="00092F77" w:rsidRPr="00FC314D" w:rsidRDefault="00092F77" w:rsidP="00AE59AF">
            <w:pPr>
              <w:spacing w:after="160"/>
              <w:ind w:left="720"/>
              <w:rPr>
                <w:rStyle w:val="Strong"/>
                <w:b w:val="0"/>
                <w:bCs w:val="0"/>
                <w:sz w:val="22"/>
                <w:szCs w:val="20"/>
              </w:rPr>
            </w:pPr>
            <w:r w:rsidRPr="00FC314D">
              <w:rPr>
                <w:rStyle w:val="Strong"/>
                <w:b w:val="0"/>
                <w:bCs w:val="0"/>
                <w:sz w:val="22"/>
                <w:szCs w:val="20"/>
              </w:rPr>
              <w:t xml:space="preserve">(c) the nature and extent of the limitation; and </w:t>
            </w:r>
          </w:p>
          <w:p w14:paraId="32E6349F" w14:textId="77777777" w:rsidR="00092F77" w:rsidRPr="00FC314D" w:rsidRDefault="00092F77" w:rsidP="00AE59AF">
            <w:pPr>
              <w:spacing w:after="160"/>
              <w:ind w:left="720"/>
              <w:rPr>
                <w:rStyle w:val="Strong"/>
                <w:b w:val="0"/>
                <w:bCs w:val="0"/>
                <w:sz w:val="22"/>
                <w:szCs w:val="20"/>
              </w:rPr>
            </w:pPr>
            <w:r w:rsidRPr="00FC314D">
              <w:rPr>
                <w:rStyle w:val="Strong"/>
                <w:b w:val="0"/>
                <w:bCs w:val="0"/>
                <w:sz w:val="22"/>
                <w:szCs w:val="20"/>
              </w:rPr>
              <w:t xml:space="preserve">(d) the relationship between the limitation and its purpose; and </w:t>
            </w:r>
          </w:p>
          <w:p w14:paraId="447D8636" w14:textId="77777777" w:rsidR="00092F77" w:rsidRPr="00FC314D" w:rsidRDefault="00092F77" w:rsidP="00AE59AF">
            <w:pPr>
              <w:spacing w:after="160"/>
              <w:ind w:left="720"/>
              <w:rPr>
                <w:rStyle w:val="Strong"/>
                <w:b w:val="0"/>
                <w:bCs w:val="0"/>
                <w:sz w:val="22"/>
                <w:szCs w:val="20"/>
              </w:rPr>
            </w:pPr>
            <w:r w:rsidRPr="00FC314D">
              <w:rPr>
                <w:rStyle w:val="Strong"/>
                <w:b w:val="0"/>
                <w:bCs w:val="0"/>
                <w:sz w:val="22"/>
              </w:rPr>
              <w:t>(e) any less restrictive means reasonably available to achieve the purpose that the limitation seeks to achieve.</w:t>
            </w:r>
            <w:r w:rsidRPr="00EB2274">
              <w:rPr>
                <w:rStyle w:val="FootnoteReference"/>
              </w:rPr>
              <w:footnoteReference w:id="34"/>
            </w:r>
          </w:p>
          <w:p w14:paraId="1E92A647" w14:textId="57574CE4" w:rsidR="00092F77" w:rsidRPr="00FC314D" w:rsidRDefault="00092F77" w:rsidP="00AE59AF">
            <w:pPr>
              <w:spacing w:before="0" w:after="160"/>
            </w:pPr>
            <w:r w:rsidRPr="00FC314D">
              <w:t>These duties are reinforced and given a more clearly proactive element elsewhere</w:t>
            </w:r>
            <w:r w:rsidR="005225DE">
              <w:t xml:space="preserve"> in Victorian law</w:t>
            </w:r>
            <w:r w:rsidRPr="00FC314D">
              <w:t xml:space="preserve">. ‘Human rights’ are also one of the public sector values in Victoria. </w:t>
            </w:r>
            <w:r w:rsidRPr="009C037D">
              <w:t>The Public Administration Act</w:t>
            </w:r>
            <w:r w:rsidRPr="6D69D0D5">
              <w:rPr>
                <w:i/>
                <w:iCs/>
              </w:rPr>
              <w:t xml:space="preserve"> </w:t>
            </w:r>
            <w:r w:rsidRPr="00FC314D">
              <w:t>states that ‘public officials should respect and promote the human rights set out in the Charter of Human Rights and Responsibilities by—(i) making decisions and providing advice consistent with human rights; and (ii) actively implementing, promoting and supporting human rights’.</w:t>
            </w:r>
            <w:r w:rsidRPr="00EB2274">
              <w:rPr>
                <w:rStyle w:val="FootnoteReference"/>
              </w:rPr>
              <w:footnoteReference w:id="35"/>
            </w:r>
          </w:p>
          <w:p w14:paraId="7B01B167" w14:textId="6281C6E7" w:rsidR="00092F77" w:rsidRPr="00FC314D" w:rsidRDefault="00092F77" w:rsidP="00AE59AF">
            <w:pPr>
              <w:spacing w:before="0" w:after="160"/>
            </w:pPr>
            <w:r w:rsidRPr="00FC314D">
              <w:rPr>
                <w:rStyle w:val="Strong"/>
                <w:b w:val="0"/>
                <w:bCs w:val="0"/>
              </w:rPr>
              <w:t xml:space="preserve">Moreover, the </w:t>
            </w:r>
            <w:r w:rsidRPr="004532F2">
              <w:rPr>
                <w:rStyle w:val="Strong"/>
                <w:b w:val="0"/>
                <w:bCs w:val="0"/>
              </w:rPr>
              <w:t>Mental Health and Wellbeing Act gives</w:t>
            </w:r>
            <w:r w:rsidRPr="00FC314D">
              <w:rPr>
                <w:rStyle w:val="Strong"/>
                <w:b w:val="0"/>
                <w:bCs w:val="0"/>
              </w:rPr>
              <w:t xml:space="preserve"> the Health Secretary and the Chief Officer for Mental Health and Wellbeing a function under the Act ‘to promote human rights compliance by mental health and wellbeing service providers’.</w:t>
            </w:r>
            <w:r w:rsidRPr="00EB2274">
              <w:rPr>
                <w:rStyle w:val="FootnoteReference"/>
              </w:rPr>
              <w:footnoteReference w:id="36"/>
            </w:r>
          </w:p>
          <w:p w14:paraId="0AFFC4CB" w14:textId="4E5ED0CF" w:rsidR="00F848B5" w:rsidRDefault="00F848B5" w:rsidP="00AE59AF">
            <w:pPr>
              <w:spacing w:before="0"/>
            </w:pPr>
          </w:p>
        </w:tc>
      </w:tr>
    </w:tbl>
    <w:p w14:paraId="1200F666" w14:textId="6F5FC726" w:rsidR="00CA308C" w:rsidRPr="00CA308C" w:rsidRDefault="00CA308C" w:rsidP="00E96F72">
      <w:pPr>
        <w:rPr>
          <w:color w:val="FFFFFF" w:themeColor="background1"/>
        </w:rPr>
      </w:pPr>
    </w:p>
    <w:p w14:paraId="02D2898B" w14:textId="77777777" w:rsidR="001D17A9" w:rsidRDefault="001D17A9" w:rsidP="00A81ED5">
      <w:pPr>
        <w:pStyle w:val="Heading1-report"/>
        <w:sectPr w:rsidR="001D17A9" w:rsidSect="00CD42BD">
          <w:pgSz w:w="11906" w:h="16838"/>
          <w:pgMar w:top="1701" w:right="1418" w:bottom="1440" w:left="1418" w:header="709" w:footer="709" w:gutter="0"/>
          <w:cols w:space="708"/>
          <w:titlePg/>
          <w:docGrid w:linePitch="360"/>
        </w:sectPr>
      </w:pPr>
    </w:p>
    <w:p w14:paraId="592D774F" w14:textId="36445F7D" w:rsidR="00E96F72" w:rsidRDefault="00E96F72" w:rsidP="00E96F72">
      <w:pPr>
        <w:rPr>
          <w:b/>
          <w:bCs/>
          <w:color w:val="201547"/>
          <w:sz w:val="48"/>
          <w:szCs w:val="48"/>
        </w:rPr>
      </w:pPr>
      <w:r>
        <w:rPr>
          <w:b/>
          <w:bCs/>
          <w:noProof/>
          <w:sz w:val="26"/>
          <w:szCs w:val="26"/>
        </w:rPr>
        <w:lastRenderedPageBreak/>
        <w:drawing>
          <wp:anchor distT="0" distB="0" distL="114300" distR="114300" simplePos="0" relativeHeight="251676699" behindDoc="0" locked="0" layoutInCell="1" allowOverlap="1" wp14:anchorId="78101D57" wp14:editId="4564A329">
            <wp:simplePos x="0" y="0"/>
            <wp:positionH relativeFrom="margin">
              <wp:posOffset>-182880</wp:posOffset>
            </wp:positionH>
            <wp:positionV relativeFrom="paragraph">
              <wp:posOffset>-391886</wp:posOffset>
            </wp:positionV>
            <wp:extent cx="914400" cy="914400"/>
            <wp:effectExtent l="0" t="0" r="0" b="0"/>
            <wp:wrapNone/>
            <wp:docPr id="949578208" name="Graphic 949578208"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Raised hand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p>
    <w:p w14:paraId="4046EEFC" w14:textId="77777777" w:rsidR="00E96F72" w:rsidRPr="00FB5AEC" w:rsidRDefault="00E96F72" w:rsidP="00E96F72">
      <w:pPr>
        <w:pStyle w:val="Heading2-report"/>
        <w:rPr>
          <w:color w:val="FFFFFF" w:themeColor="background1"/>
        </w:rPr>
      </w:pPr>
      <w:r>
        <w:rPr>
          <w:color w:val="FFFFFF" w:themeColor="background1"/>
          <w:sz w:val="72"/>
          <w:szCs w:val="72"/>
        </w:rPr>
        <w:t>Policy example</w:t>
      </w:r>
    </w:p>
    <w:p w14:paraId="7C4B18DA" w14:textId="77777777" w:rsidR="00E96F72" w:rsidRDefault="00E96F72" w:rsidP="00E96F72">
      <w:pPr>
        <w:pStyle w:val="Heading2-report"/>
        <w:rPr>
          <w:color w:val="FFFFFF" w:themeColor="background1"/>
          <w:sz w:val="26"/>
          <w:szCs w:val="26"/>
        </w:rPr>
      </w:pPr>
      <w:r w:rsidRPr="00A2343E">
        <w:rPr>
          <w:noProof/>
          <w:color w:val="FFFFFF" w:themeColor="background1"/>
        </w:rPr>
        <mc:AlternateContent>
          <mc:Choice Requires="wps">
            <w:drawing>
              <wp:anchor distT="0" distB="0" distL="114300" distR="114300" simplePos="0" relativeHeight="251674651" behindDoc="1" locked="0" layoutInCell="1" allowOverlap="1" wp14:anchorId="55422A7E" wp14:editId="666519DC">
                <wp:simplePos x="0" y="0"/>
                <wp:positionH relativeFrom="page">
                  <wp:posOffset>-235131</wp:posOffset>
                </wp:positionH>
                <wp:positionV relativeFrom="paragraph">
                  <wp:posOffset>-2288721</wp:posOffset>
                </wp:positionV>
                <wp:extent cx="7896860" cy="11012170"/>
                <wp:effectExtent l="0" t="0" r="27940" b="17780"/>
                <wp:wrapNone/>
                <wp:docPr id="123891913" name="Rectangle 123891913"/>
                <wp:cNvGraphicFramePr/>
                <a:graphic xmlns:a="http://schemas.openxmlformats.org/drawingml/2006/main">
                  <a:graphicData uri="http://schemas.microsoft.com/office/word/2010/wordprocessingShape">
                    <wps:wsp>
                      <wps:cNvSpPr/>
                      <wps:spPr>
                        <a:xfrm>
                          <a:off x="0" y="0"/>
                          <a:ext cx="7896860" cy="11012170"/>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797B1" w14:textId="77777777" w:rsidR="00E96F72" w:rsidRDefault="00E96F72" w:rsidP="00E96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22A7E" id="Rectangle 123891913" o:spid="_x0000_s1035" style="position:absolute;margin-left:-18.5pt;margin-top:-180.2pt;width:621.8pt;height:867.1pt;z-index:-25164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" fillcolor="#201547" strokecolor="#201547" strokeweight="1pt">
                <v:textbox>
                  <w:txbxContent>
                    <w:p w14:paraId="046797B1" w14:textId="77777777" w:rsidR="00E96F72" w:rsidRDefault="00E96F72" w:rsidP="00E96F72">
                      <w:pPr>
                        <w:jc w:val="center"/>
                      </w:pPr>
                    </w:p>
                  </w:txbxContent>
                </v:textbox>
                <w10:wrap anchorx="page"/>
              </v:rect>
            </w:pict>
          </mc:Fallback>
        </mc:AlternateContent>
      </w:r>
      <w:r>
        <w:rPr>
          <w:color w:val="FFFFFF" w:themeColor="background1"/>
          <w:sz w:val="26"/>
          <w:szCs w:val="26"/>
        </w:rPr>
        <w:t>SAFEWARDS, HUMAN RIGHTS AND SAFETY FOR ALL</w:t>
      </w:r>
    </w:p>
    <w:p w14:paraId="68056532" w14:textId="77777777" w:rsidR="00E96F72" w:rsidRDefault="00E96F72" w:rsidP="00E96F72">
      <w:pPr>
        <w:rPr>
          <w:color w:val="FFFFFF" w:themeColor="background1"/>
        </w:rPr>
      </w:pPr>
      <w:r>
        <w:rPr>
          <w:color w:val="FFFFFF" w:themeColor="background1"/>
        </w:rPr>
        <w:t>All people should be safe inside public mental health service. Staff should have a safe workplace. All consumers in a public mental health service have the right to safety alongside their fellow consumers and in their treatment from mental health staff. The false dichotomies</w:t>
      </w:r>
      <w:r w:rsidRPr="00EB2274">
        <w:rPr>
          <w:rStyle w:val="FootnoteReference"/>
        </w:rPr>
        <w:footnoteReference w:id="37"/>
      </w:r>
      <w:r>
        <w:rPr>
          <w:color w:val="FFFFFF" w:themeColor="background1"/>
        </w:rPr>
        <w:t xml:space="preserve"> between consumer-consumer safety and staff-consumer safety are dissolving with the introduction of SafeWards. Adoption and further implementation of SafeWards is another way to give effect to human rights. One of the recommendations from the Royal Commission was to further implement the model.</w:t>
      </w:r>
      <w:r w:rsidRPr="00EB2274">
        <w:rPr>
          <w:rStyle w:val="FootnoteReference"/>
        </w:rPr>
        <w:footnoteReference w:id="38"/>
      </w:r>
    </w:p>
    <w:p w14:paraId="32080EB3" w14:textId="77777777" w:rsidR="00E96F72" w:rsidRDefault="00E96F72" w:rsidP="00E96F72">
      <w:pPr>
        <w:pStyle w:val="Heading3-report"/>
        <w:rPr>
          <w:color w:val="FFFFFF" w:themeColor="background1"/>
        </w:rPr>
      </w:pPr>
      <w:r w:rsidRPr="00C97C71">
        <w:rPr>
          <w:color w:val="FFFFFF" w:themeColor="background1"/>
        </w:rPr>
        <w:t>Forecast</w:t>
      </w:r>
    </w:p>
    <w:p w14:paraId="7A28B334" w14:textId="77777777" w:rsidR="00E96F72" w:rsidRDefault="00E96F72" w:rsidP="00E96F72">
      <w:pPr>
        <w:rPr>
          <w:color w:val="FFFFFF" w:themeColor="background1"/>
        </w:rPr>
      </w:pPr>
      <w:r>
        <w:rPr>
          <w:color w:val="FFFFFF" w:themeColor="background1"/>
        </w:rPr>
        <w:t>Forecasting reveals that consumers, followed by mental health staff, are the most impacted by SafeWards programs. Mental health staff are impacted by occupational violence, as well as changes to their daily work practices associated with SafeWards. Consumers have many aspects of their daily life controlled when staying inside public mental health service. They are also impacted by the use of coercion, compulsory treatment and restrictive practices used by mental health services. It is important to speak to consumers who have spent time in mental health inpatient units – ideally those who have experienced wards with and without Safewards – to understand the impact of these policies.</w:t>
      </w:r>
    </w:p>
    <w:p w14:paraId="066FCB5A" w14:textId="77777777" w:rsidR="00E96F72" w:rsidRDefault="00E96F72" w:rsidP="00E96F72">
      <w:pPr>
        <w:pStyle w:val="Heading3-report"/>
        <w:rPr>
          <w:color w:val="FFFFFF" w:themeColor="background1"/>
        </w:rPr>
      </w:pPr>
      <w:r>
        <w:rPr>
          <w:color w:val="FFFFFF" w:themeColor="background1"/>
        </w:rPr>
        <w:t>Assess</w:t>
      </w:r>
    </w:p>
    <w:p w14:paraId="09D9001C" w14:textId="77777777" w:rsidR="00E96F72" w:rsidRDefault="00E96F72" w:rsidP="00E96F72">
      <w:pPr>
        <w:rPr>
          <w:color w:val="FFFFFF" w:themeColor="background1"/>
        </w:rPr>
      </w:pPr>
      <w:r>
        <w:rPr>
          <w:color w:val="FFFFFF" w:themeColor="background1"/>
        </w:rPr>
        <w:t>Assessing the human rights context makes clear that occupational violence can be a breach of a staff member’s rights. Meanwhile, the widespread and systemic nature of human rights limitations – including equality (the use of detention and force based on mental health), right to be free from torture (compulsory mental health treatment), liberty and security of person (the use of detention and force), humane treatment when deprived of liberty (at times substandard treatment within wards) – all reflect more grave and widespread human rights limitations.</w:t>
      </w:r>
    </w:p>
    <w:p w14:paraId="64E5DF6D" w14:textId="77777777" w:rsidR="00E96F72" w:rsidRDefault="00E96F72" w:rsidP="00E96F72">
      <w:pPr>
        <w:pStyle w:val="Heading3-report"/>
        <w:rPr>
          <w:color w:val="FFFFFF" w:themeColor="background1"/>
        </w:rPr>
      </w:pPr>
      <w:r>
        <w:rPr>
          <w:color w:val="FFFFFF" w:themeColor="background1"/>
        </w:rPr>
        <w:t>Decide</w:t>
      </w:r>
    </w:p>
    <w:p w14:paraId="61B94DB5" w14:textId="7B4BCE33" w:rsidR="00E96F72" w:rsidRDefault="00E96F72" w:rsidP="00E96F72">
      <w:pPr>
        <w:rPr>
          <w:color w:val="FFFFFF" w:themeColor="background1"/>
        </w:rPr>
      </w:pPr>
      <w:r>
        <w:rPr>
          <w:color w:val="FFFFFF" w:themeColor="background1"/>
        </w:rPr>
        <w:t xml:space="preserve">SafeWards works on a principle that safety is created </w:t>
      </w:r>
      <w:r>
        <w:rPr>
          <w:i/>
          <w:iCs/>
          <w:color w:val="FFFFFF" w:themeColor="background1"/>
        </w:rPr>
        <w:t>with</w:t>
      </w:r>
      <w:r>
        <w:rPr>
          <w:color w:val="FFFFFF" w:themeColor="background1"/>
        </w:rPr>
        <w:t xml:space="preserve"> mental health consumers, not </w:t>
      </w:r>
      <w:r>
        <w:rPr>
          <w:i/>
          <w:iCs/>
          <w:color w:val="FFFFFF" w:themeColor="background1"/>
        </w:rPr>
        <w:t xml:space="preserve">from </w:t>
      </w:r>
      <w:r>
        <w:rPr>
          <w:color w:val="FFFFFF" w:themeColor="background1"/>
        </w:rPr>
        <w:t>them</w:t>
      </w:r>
      <w:r>
        <w:rPr>
          <w:i/>
          <w:iCs/>
          <w:color w:val="FFFFFF" w:themeColor="background1"/>
        </w:rPr>
        <w:t xml:space="preserve">. </w:t>
      </w:r>
      <w:r>
        <w:rPr>
          <w:color w:val="FFFFFF" w:themeColor="background1"/>
        </w:rPr>
        <w:t xml:space="preserve">It argues that through a range of less restrictive strategies (than the use of force), violence on the ward can be reduced and all stakeholders can enjoy a safer environment. When a public mental health service or Division official is considering how to </w:t>
      </w:r>
      <w:r w:rsidRPr="00A2343E">
        <w:rPr>
          <w:noProof/>
          <w:color w:val="FFFFFF" w:themeColor="background1"/>
        </w:rPr>
        <mc:AlternateContent>
          <mc:Choice Requires="wps">
            <w:drawing>
              <wp:anchor distT="0" distB="0" distL="114300" distR="114300" simplePos="0" relativeHeight="251673627" behindDoc="1" locked="0" layoutInCell="1" allowOverlap="1" wp14:anchorId="4F9DF0F3" wp14:editId="793186EC">
                <wp:simplePos x="0" y="0"/>
                <wp:positionH relativeFrom="page">
                  <wp:posOffset>-13854</wp:posOffset>
                </wp:positionH>
                <wp:positionV relativeFrom="paragraph">
                  <wp:posOffset>-1315662</wp:posOffset>
                </wp:positionV>
                <wp:extent cx="7675130" cy="10961502"/>
                <wp:effectExtent l="0" t="0" r="21590" b="11430"/>
                <wp:wrapNone/>
                <wp:docPr id="1366829388" name="Rectangle 1366829388"/>
                <wp:cNvGraphicFramePr/>
                <a:graphic xmlns:a="http://schemas.openxmlformats.org/drawingml/2006/main">
                  <a:graphicData uri="http://schemas.microsoft.com/office/word/2010/wordprocessingShape">
                    <wps:wsp>
                      <wps:cNvSpPr/>
                      <wps:spPr>
                        <a:xfrm>
                          <a:off x="0" y="0"/>
                          <a:ext cx="7675130" cy="10961502"/>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572E2" w14:textId="77777777" w:rsidR="00E96F72" w:rsidRDefault="00E96F72" w:rsidP="00E96F72">
                            <w:pPr>
                              <w:jc w:val="center"/>
                            </w:pPr>
                          </w:p>
                          <w:p w14:paraId="4B95344C" w14:textId="77777777" w:rsidR="00E96F72" w:rsidRDefault="00E96F72" w:rsidP="00E96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DF0F3" id="Rectangle 1366829388" o:spid="_x0000_s1036" style="position:absolute;margin-left:-1.1pt;margin-top:-103.6pt;width:604.35pt;height:863.1pt;z-index:-2516428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" fillcolor="#201547" strokecolor="#201547" strokeweight="1pt">
                <v:textbox>
                  <w:txbxContent>
                    <w:p w14:paraId="658572E2" w14:textId="77777777" w:rsidR="00E96F72" w:rsidRDefault="00E96F72" w:rsidP="00E96F72">
                      <w:pPr>
                        <w:jc w:val="center"/>
                      </w:pPr>
                    </w:p>
                    <w:p w14:paraId="4B95344C" w14:textId="77777777" w:rsidR="00E96F72" w:rsidRDefault="00E96F72" w:rsidP="00E96F72">
                      <w:pPr>
                        <w:jc w:val="center"/>
                      </w:pPr>
                    </w:p>
                  </w:txbxContent>
                </v:textbox>
                <w10:wrap anchorx="page"/>
              </v:rect>
            </w:pict>
          </mc:Fallback>
        </mc:AlternateContent>
      </w:r>
      <w:r>
        <w:rPr>
          <w:color w:val="FFFFFF" w:themeColor="background1"/>
        </w:rPr>
        <w:t xml:space="preserve">address staff safety, they may consider how SafeWards – which has been positively </w:t>
      </w:r>
      <w:r>
        <w:rPr>
          <w:noProof/>
        </w:rPr>
        <w:lastRenderedPageBreak/>
        <mc:AlternateContent>
          <mc:Choice Requires="wps">
            <w:drawing>
              <wp:anchor distT="0" distB="0" distL="114300" distR="114300" simplePos="0" relativeHeight="251657215" behindDoc="1" locked="0" layoutInCell="1" allowOverlap="1" wp14:anchorId="4FE027E3" wp14:editId="665600BC">
                <wp:simplePos x="0" y="0"/>
                <wp:positionH relativeFrom="column">
                  <wp:posOffset>-1152888</wp:posOffset>
                </wp:positionH>
                <wp:positionV relativeFrom="paragraph">
                  <wp:posOffset>-916486</wp:posOffset>
                </wp:positionV>
                <wp:extent cx="8020232" cy="10911749"/>
                <wp:effectExtent l="0" t="0" r="19050" b="23495"/>
                <wp:wrapNone/>
                <wp:docPr id="869626048" name="Rectangle 1"/>
                <wp:cNvGraphicFramePr/>
                <a:graphic xmlns:a="http://schemas.openxmlformats.org/drawingml/2006/main">
                  <a:graphicData uri="http://schemas.microsoft.com/office/word/2010/wordprocessingShape">
                    <wps:wsp>
                      <wps:cNvSpPr/>
                      <wps:spPr>
                        <a:xfrm>
                          <a:off x="0" y="0"/>
                          <a:ext cx="8020232" cy="10911749"/>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A43358" id="Rectangle 1" o:spid="_x0000_s1026" style="position:absolute;margin-left:-90.8pt;margin-top:-72.15pt;width:631.5pt;height:859.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" fillcolor="#201547" strokecolor="#1b383a [1604]" strokeweight="1pt"/>
            </w:pict>
          </mc:Fallback>
        </mc:AlternateContent>
      </w:r>
      <w:r>
        <w:rPr>
          <w:color w:val="FFFFFF" w:themeColor="background1"/>
        </w:rPr>
        <w:t>evaluated</w:t>
      </w:r>
      <w:r w:rsidRPr="00EB2274">
        <w:rPr>
          <w:rStyle w:val="FootnoteReference"/>
        </w:rPr>
        <w:footnoteReference w:id="39"/>
      </w:r>
      <w:r>
        <w:rPr>
          <w:color w:val="FFFFFF" w:themeColor="background1"/>
        </w:rPr>
        <w:t xml:space="preserve"> – could compare with other approaches such as the status quo or the creation of more seclusion rooms. Taking section 7(2) of the Charter into account in balancing the rights of those involved:</w:t>
      </w:r>
    </w:p>
    <w:p w14:paraId="1CE7154A" w14:textId="77777777" w:rsidR="00E96F72" w:rsidRDefault="00E96F72" w:rsidP="00E96F72">
      <w:pPr>
        <w:pStyle w:val="ListParagraph"/>
        <w:numPr>
          <w:ilvl w:val="0"/>
          <w:numId w:val="54"/>
        </w:numPr>
        <w:rPr>
          <w:color w:val="FFFFFF" w:themeColor="background1"/>
        </w:rPr>
      </w:pPr>
      <w:r>
        <w:rPr>
          <w:color w:val="FFFFFF" w:themeColor="background1"/>
        </w:rPr>
        <w:t xml:space="preserve">The </w:t>
      </w:r>
      <w:r w:rsidRPr="008474BF">
        <w:rPr>
          <w:b/>
          <w:bCs/>
          <w:color w:val="FFFFFF" w:themeColor="background1"/>
        </w:rPr>
        <w:t>nature</w:t>
      </w:r>
      <w:r>
        <w:rPr>
          <w:color w:val="FFFFFF" w:themeColor="background1"/>
        </w:rPr>
        <w:t xml:space="preserve"> of some of the rights limitations faced by consumers currently are grave, such as the prohibition on torture</w:t>
      </w:r>
    </w:p>
    <w:p w14:paraId="68286703" w14:textId="2D047155" w:rsidR="00E96F72" w:rsidRDefault="00E96F72" w:rsidP="00E96F72">
      <w:pPr>
        <w:pStyle w:val="ListParagraph"/>
        <w:numPr>
          <w:ilvl w:val="0"/>
          <w:numId w:val="54"/>
        </w:numPr>
        <w:rPr>
          <w:color w:val="FFFFFF" w:themeColor="background1"/>
        </w:rPr>
      </w:pPr>
      <w:r>
        <w:rPr>
          <w:color w:val="FFFFFF" w:themeColor="background1"/>
        </w:rPr>
        <w:t xml:space="preserve">The </w:t>
      </w:r>
      <w:r>
        <w:rPr>
          <w:b/>
          <w:bCs/>
          <w:color w:val="FFFFFF" w:themeColor="background1"/>
        </w:rPr>
        <w:t xml:space="preserve">importance of the limitation </w:t>
      </w:r>
      <w:r>
        <w:rPr>
          <w:color w:val="FFFFFF" w:themeColor="background1"/>
        </w:rPr>
        <w:t>on these rights, which is commonly to support staff safety, is commendable and supportive one</w:t>
      </w:r>
    </w:p>
    <w:p w14:paraId="7104C198" w14:textId="715FC6AF" w:rsidR="00E96F72" w:rsidRDefault="00E96F72" w:rsidP="00E96F72">
      <w:pPr>
        <w:pStyle w:val="ListParagraph"/>
        <w:numPr>
          <w:ilvl w:val="0"/>
          <w:numId w:val="54"/>
        </w:numPr>
        <w:rPr>
          <w:color w:val="FFFFFF" w:themeColor="background1"/>
        </w:rPr>
      </w:pPr>
      <w:r>
        <w:rPr>
          <w:color w:val="FFFFFF" w:themeColor="background1"/>
        </w:rPr>
        <w:t xml:space="preserve">The </w:t>
      </w:r>
      <w:r>
        <w:rPr>
          <w:b/>
          <w:bCs/>
          <w:color w:val="FFFFFF" w:themeColor="background1"/>
        </w:rPr>
        <w:t xml:space="preserve">extent of the limitations </w:t>
      </w:r>
      <w:r>
        <w:rPr>
          <w:color w:val="FFFFFF" w:themeColor="background1"/>
        </w:rPr>
        <w:t>are grave, with people’s rights being severely (rather than minimally) limited</w:t>
      </w:r>
    </w:p>
    <w:p w14:paraId="5E83C673" w14:textId="102CFBE1" w:rsidR="00E96F72" w:rsidRDefault="00E96F72" w:rsidP="00E96F72">
      <w:pPr>
        <w:pStyle w:val="ListParagraph"/>
        <w:numPr>
          <w:ilvl w:val="0"/>
          <w:numId w:val="54"/>
        </w:numPr>
        <w:rPr>
          <w:color w:val="FFFFFF" w:themeColor="background1"/>
        </w:rPr>
      </w:pPr>
      <w:r>
        <w:rPr>
          <w:color w:val="FFFFFF" w:themeColor="background1"/>
        </w:rPr>
        <w:t xml:space="preserve">When examining the evidence, it is not always clear that the </w:t>
      </w:r>
      <w:r>
        <w:rPr>
          <w:b/>
          <w:bCs/>
          <w:color w:val="FFFFFF" w:themeColor="background1"/>
        </w:rPr>
        <w:t>limitation</w:t>
      </w:r>
      <w:r>
        <w:rPr>
          <w:color w:val="FFFFFF" w:themeColor="background1"/>
        </w:rPr>
        <w:t xml:space="preserve"> (use of force and restrictive practices) necessarily </w:t>
      </w:r>
      <w:r>
        <w:rPr>
          <w:b/>
          <w:bCs/>
          <w:color w:val="FFFFFF" w:themeColor="background1"/>
        </w:rPr>
        <w:t xml:space="preserve">meets the purpose </w:t>
      </w:r>
      <w:r>
        <w:rPr>
          <w:color w:val="FFFFFF" w:themeColor="background1"/>
        </w:rPr>
        <w:t>(creating safety)</w:t>
      </w:r>
    </w:p>
    <w:p w14:paraId="006108B7" w14:textId="77777777" w:rsidR="00E96F72" w:rsidRDefault="00E96F72" w:rsidP="00E96F72">
      <w:pPr>
        <w:pStyle w:val="ListParagraph"/>
        <w:numPr>
          <w:ilvl w:val="0"/>
          <w:numId w:val="54"/>
        </w:numPr>
        <w:rPr>
          <w:color w:val="FFFFFF" w:themeColor="background1"/>
        </w:rPr>
      </w:pPr>
      <w:r>
        <w:rPr>
          <w:color w:val="FFFFFF" w:themeColor="background1"/>
        </w:rPr>
        <w:t xml:space="preserve">Importantly, the implementation of </w:t>
      </w:r>
      <w:r>
        <w:rPr>
          <w:b/>
          <w:bCs/>
          <w:color w:val="FFFFFF" w:themeColor="background1"/>
        </w:rPr>
        <w:t xml:space="preserve">SafeWards </w:t>
      </w:r>
      <w:r>
        <w:rPr>
          <w:color w:val="FFFFFF" w:themeColor="background1"/>
        </w:rPr>
        <w:t xml:space="preserve">programs present a </w:t>
      </w:r>
      <w:r>
        <w:rPr>
          <w:b/>
          <w:bCs/>
          <w:color w:val="FFFFFF" w:themeColor="background1"/>
        </w:rPr>
        <w:t xml:space="preserve">less restrictive alternative </w:t>
      </w:r>
      <w:r>
        <w:rPr>
          <w:color w:val="FFFFFF" w:themeColor="background1"/>
        </w:rPr>
        <w:t>to continuing current practices that presume the use of restrictive practices.</w:t>
      </w:r>
    </w:p>
    <w:p w14:paraId="358C8A07" w14:textId="79B6F7C2" w:rsidR="00F848B5" w:rsidRDefault="00E96F72" w:rsidP="00E96F72">
      <w:pPr>
        <w:sectPr w:rsidR="00F848B5" w:rsidSect="00166887">
          <w:headerReference w:type="first" r:id="rId39"/>
          <w:pgSz w:w="11906" w:h="16838"/>
          <w:pgMar w:top="1440" w:right="1418" w:bottom="1440" w:left="1418" w:header="708" w:footer="708" w:gutter="0"/>
          <w:cols w:space="708"/>
          <w:titlePg/>
          <w:docGrid w:linePitch="360"/>
        </w:sectPr>
      </w:pPr>
      <w:r>
        <w:rPr>
          <w:color w:val="FFFFFF" w:themeColor="background1"/>
        </w:rPr>
        <w:t>Taking a Charter-based approach moves through a false dichotomy between consumer safety and staff safety. While noting that consumers face the greatest human rights limitations in this context, and therefore should be given the greatest consideration, this approach finds that there are less restrictive ways to create safety for all involved</w:t>
      </w:r>
      <w:r>
        <w:rPr>
          <w:noProof/>
        </w:rPr>
        <w:t xml:space="preserve"> </w:t>
      </w:r>
    </w:p>
    <w:p w14:paraId="15E92A3F" w14:textId="1E1A509C" w:rsidR="00D702B0" w:rsidRDefault="00BB5A64" w:rsidP="00A96470">
      <w:pPr>
        <w:pStyle w:val="Heading1-report"/>
      </w:pPr>
      <w:r>
        <w:lastRenderedPageBreak/>
        <w:t xml:space="preserve">3. </w:t>
      </w:r>
      <w:r w:rsidR="007556BF">
        <w:t>Implementation: Embedding human rights in the</w:t>
      </w:r>
      <w:r w:rsidR="00B600F2">
        <w:t xml:space="preserve"> </w:t>
      </w:r>
      <w:r w:rsidR="007556BF">
        <w:t>Mental Health and Wellbeing Division</w:t>
      </w:r>
    </w:p>
    <w:p w14:paraId="3BBD327E" w14:textId="210F56BA" w:rsidR="007556BF" w:rsidRDefault="006B1E5F" w:rsidP="007556BF">
      <w:r>
        <w:t xml:space="preserve">Section 2 </w:t>
      </w:r>
      <w:r w:rsidR="00447FE8">
        <w:t>outlined</w:t>
      </w:r>
      <w:r>
        <w:t xml:space="preserve"> how you can consider human rights </w:t>
      </w:r>
      <w:r w:rsidR="000E3A6C">
        <w:t>when making decisions.</w:t>
      </w:r>
    </w:p>
    <w:p w14:paraId="00745AF0" w14:textId="103D070D" w:rsidR="00621482" w:rsidRDefault="000E3A6C" w:rsidP="007556BF">
      <w:r>
        <w:t>This section gives you guidance on how you c</w:t>
      </w:r>
      <w:r w:rsidR="00621482">
        <w:t>an</w:t>
      </w:r>
      <w:r>
        <w:t xml:space="preserve"> embed human rights in </w:t>
      </w:r>
      <w:r w:rsidR="006E2E3A">
        <w:t>the division’s</w:t>
      </w:r>
      <w:r>
        <w:t xml:space="preserve"> </w:t>
      </w:r>
      <w:r w:rsidR="00AF5575">
        <w:t xml:space="preserve">systems and </w:t>
      </w:r>
      <w:r w:rsidR="00B021D1">
        <w:t>processes.</w:t>
      </w:r>
      <w:r w:rsidR="0082417E">
        <w:t xml:space="preserve"> </w:t>
      </w:r>
    </w:p>
    <w:p w14:paraId="7FD54B83" w14:textId="0C2B7A26" w:rsidR="00BC495D" w:rsidRDefault="006E2E3A" w:rsidP="007556BF">
      <w:r>
        <w:t>Making human rights part of your everyday work helps to</w:t>
      </w:r>
      <w:r w:rsidR="00F04563">
        <w:t xml:space="preserve"> ensure that human rights questions are considered at the right point </w:t>
      </w:r>
      <w:r w:rsidR="00AB1126">
        <w:t>to inform</w:t>
      </w:r>
      <w:r w:rsidR="001F3C7F">
        <w:t xml:space="preserve"> decision-making</w:t>
      </w:r>
      <w:r w:rsidR="009E39C6">
        <w:t xml:space="preserve">. </w:t>
      </w:r>
      <w:r w:rsidR="00442429">
        <w:t>It also helps to build a human rights culture</w:t>
      </w:r>
      <w:r w:rsidR="001B0A51">
        <w:t xml:space="preserve">—giving </w:t>
      </w:r>
      <w:r w:rsidR="006D4184">
        <w:t xml:space="preserve">practical meaning to </w:t>
      </w:r>
      <w:r w:rsidR="001B0A51">
        <w:t>‘human rights’ as a public sector value</w:t>
      </w:r>
      <w:r w:rsidR="006D4184">
        <w:t xml:space="preserve"> in Victoria</w:t>
      </w:r>
      <w:r w:rsidR="001B0A51">
        <w:t>.</w:t>
      </w:r>
      <w:r w:rsidR="00244F7F" w:rsidRPr="00EB2274">
        <w:rPr>
          <w:rStyle w:val="FootnoteReference"/>
        </w:rPr>
        <w:footnoteReference w:id="40"/>
      </w:r>
      <w:r w:rsidR="00BC495D">
        <w:t xml:space="preserve"> A human rights culture is:</w:t>
      </w:r>
    </w:p>
    <w:p w14:paraId="07EC31AC" w14:textId="3F8D44EC" w:rsidR="00BC495D" w:rsidRDefault="00BC495D" w:rsidP="00BC495D">
      <w:pPr>
        <w:pStyle w:val="Blockquote"/>
      </w:pPr>
      <w:r>
        <w:t>… a pattern of shared attitudes, values and behaviours that influence the policy-making, decisions and practices of government to uphold human rights of all people.</w:t>
      </w:r>
      <w:r w:rsidRPr="00EB2274">
        <w:rPr>
          <w:rStyle w:val="FootnoteReference"/>
        </w:rPr>
        <w:footnoteReference w:id="41"/>
      </w:r>
    </w:p>
    <w:p w14:paraId="7E5EC024" w14:textId="25DE2ABA" w:rsidR="00DB69C1" w:rsidRDefault="00DB69C1" w:rsidP="007556BF">
      <w:r>
        <w:t>The Victorian Equal Opportunity and Human Rights Commission has identified six influences on a positive human rights culture:</w:t>
      </w:r>
    </w:p>
    <w:p w14:paraId="3BAA409A" w14:textId="42B167FA" w:rsidR="00DB69C1" w:rsidRDefault="00DB69C1" w:rsidP="00E225B4">
      <w:pPr>
        <w:pStyle w:val="ListParagraph"/>
        <w:numPr>
          <w:ilvl w:val="0"/>
          <w:numId w:val="28"/>
        </w:numPr>
      </w:pPr>
      <w:r>
        <w:t>engaged leadership</w:t>
      </w:r>
    </w:p>
    <w:p w14:paraId="2199CB7A" w14:textId="3F7681F1" w:rsidR="00DB69C1" w:rsidRDefault="00DB69C1" w:rsidP="00E225B4">
      <w:pPr>
        <w:pStyle w:val="ListParagraph"/>
        <w:numPr>
          <w:ilvl w:val="0"/>
          <w:numId w:val="28"/>
        </w:numPr>
      </w:pPr>
      <w:r>
        <w:t>attitudes and values of employees</w:t>
      </w:r>
    </w:p>
    <w:p w14:paraId="4FCF5DE6" w14:textId="281B589A" w:rsidR="00DB69C1" w:rsidRDefault="00DB69C1" w:rsidP="00E225B4">
      <w:pPr>
        <w:pStyle w:val="ListParagraph"/>
        <w:numPr>
          <w:ilvl w:val="0"/>
          <w:numId w:val="28"/>
        </w:numPr>
      </w:pPr>
      <w:r>
        <w:t>transparency and accountability</w:t>
      </w:r>
    </w:p>
    <w:p w14:paraId="1DD6CFBC" w14:textId="0712DAB3" w:rsidR="00DB69C1" w:rsidRDefault="00DB69C1" w:rsidP="00E225B4">
      <w:pPr>
        <w:pStyle w:val="ListParagraph"/>
        <w:numPr>
          <w:ilvl w:val="0"/>
          <w:numId w:val="28"/>
        </w:numPr>
      </w:pPr>
      <w:r>
        <w:t>community engagement and participation</w:t>
      </w:r>
    </w:p>
    <w:p w14:paraId="72983BA1" w14:textId="4132C516" w:rsidR="00DB69C1" w:rsidRDefault="00DB69C1" w:rsidP="00E225B4">
      <w:pPr>
        <w:pStyle w:val="ListParagraph"/>
        <w:numPr>
          <w:ilvl w:val="0"/>
          <w:numId w:val="28"/>
        </w:numPr>
      </w:pPr>
      <w:r>
        <w:t>operational capability</w:t>
      </w:r>
      <w:r w:rsidR="000E0951">
        <w:t xml:space="preserve"> – knowledge and resourcing</w:t>
      </w:r>
    </w:p>
    <w:p w14:paraId="7D3A7685" w14:textId="0BE46DA1" w:rsidR="000E0951" w:rsidRDefault="000E0951" w:rsidP="00E225B4">
      <w:pPr>
        <w:pStyle w:val="ListParagraph"/>
        <w:numPr>
          <w:ilvl w:val="0"/>
          <w:numId w:val="28"/>
        </w:numPr>
      </w:pPr>
      <w:r>
        <w:t>systems and processes.</w:t>
      </w:r>
      <w:r w:rsidRPr="00EB2274">
        <w:rPr>
          <w:rStyle w:val="FootnoteReference"/>
        </w:rPr>
        <w:footnoteReference w:id="42"/>
      </w:r>
    </w:p>
    <w:p w14:paraId="19E4F7A4" w14:textId="77777777" w:rsidR="00166887" w:rsidRDefault="00166887" w:rsidP="00166887">
      <w:pPr>
        <w:sectPr w:rsidR="00166887" w:rsidSect="00166887">
          <w:headerReference w:type="first" r:id="rId40"/>
          <w:pgSz w:w="11906" w:h="16838"/>
          <w:pgMar w:top="1440" w:right="1418" w:bottom="1440" w:left="1418" w:header="708" w:footer="708" w:gutter="0"/>
          <w:cols w:space="708"/>
          <w:titlePg/>
          <w:docGrid w:linePitch="360"/>
        </w:sectPr>
      </w:pPr>
    </w:p>
    <w:p w14:paraId="61211398" w14:textId="7C994E48" w:rsidR="00166887" w:rsidRDefault="00166887" w:rsidP="00166887">
      <w:r>
        <w:rPr>
          <w:i/>
          <w:iCs/>
          <w:noProof/>
        </w:rPr>
        <w:lastRenderedPageBreak/>
        <w:drawing>
          <wp:anchor distT="0" distB="0" distL="114300" distR="114300" simplePos="0" relativeHeight="251658244" behindDoc="0" locked="0" layoutInCell="1" allowOverlap="1" wp14:anchorId="3E44A472" wp14:editId="1554649F">
            <wp:simplePos x="0" y="0"/>
            <wp:positionH relativeFrom="page">
              <wp:align>left</wp:align>
            </wp:positionH>
            <wp:positionV relativeFrom="paragraph">
              <wp:posOffset>-899795</wp:posOffset>
            </wp:positionV>
            <wp:extent cx="10685124" cy="7570175"/>
            <wp:effectExtent l="0" t="0" r="2540" b="0"/>
            <wp:wrapNone/>
            <wp:docPr id="206" name="Picture 206" descr="A diagram of human rights indicators&#10;&#10;It has the following headings:&#10;- Briefing, scoping &amp; advice&#10;- Project management&#10;- Policy &amp; services&#10;- People management&#10;- Leadership &amp; culture&#10;- Engagement&#10;- Clinical Leadership&#10;-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diagram of human rights indicators&#10;&#10;It has the following headings:&#10;- Briefing, scoping &amp; advice&#10;- Project management&#10;- Policy &amp; services&#10;- People management&#10;- Leadership &amp; culture&#10;- Engagement&#10;- Clinical Leadership&#10;- Procurement"/>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685124" cy="757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13864" w14:textId="393D37FA" w:rsidR="004E2813" w:rsidRDefault="0C85D5A8" w:rsidP="00D9577B">
      <w:pPr>
        <w:pStyle w:val="Footnotemarker-report"/>
      </w:pPr>
      <w:r>
        <w:t xml:space="preserve">We have considered and adapted each of these influences and how you might expect to see them in action in the division’s work. One of the ways we have adapted this is to ensure that lived experience perspectives are built in throughout. This is reflective of the important role that consumers have in designing and monitoring the policies that impact them, as outlined under the CRPD. The graphic below sets out some practical examples. We have </w:t>
      </w:r>
      <w:r w:rsidR="003667F6">
        <w:t xml:space="preserve">provided </w:t>
      </w:r>
      <w:r>
        <w:t xml:space="preserve">a more </w:t>
      </w:r>
      <w:r w:rsidR="008C4B7A">
        <w:t xml:space="preserve">detailed </w:t>
      </w:r>
      <w:r>
        <w:t>table as a</w:t>
      </w:r>
      <w:r w:rsidR="003667F6">
        <w:t xml:space="preserve"> separate </w:t>
      </w:r>
      <w:r>
        <w:t xml:space="preserve">annexure </w:t>
      </w:r>
      <w:r w:rsidR="003667F6">
        <w:t xml:space="preserve">to </w:t>
      </w:r>
      <w:r>
        <w:t>this document.</w:t>
      </w:r>
    </w:p>
    <w:p w14:paraId="07AE0BE2" w14:textId="3C4FD8B6" w:rsidR="00782F73" w:rsidRDefault="00782F73" w:rsidP="007556BF">
      <w:pPr>
        <w:rPr>
          <w:i/>
          <w:iCs/>
        </w:rPr>
        <w:sectPr w:rsidR="00782F73" w:rsidSect="00705BED">
          <w:pgSz w:w="16838" w:h="11906" w:orient="landscape"/>
          <w:pgMar w:top="1418" w:right="1440" w:bottom="1418" w:left="1440" w:header="708" w:footer="708" w:gutter="0"/>
          <w:cols w:space="708"/>
          <w:titlePg/>
          <w:docGrid w:linePitch="360"/>
        </w:sectPr>
      </w:pPr>
    </w:p>
    <w:p w14:paraId="65754BBA" w14:textId="083E4A1F" w:rsidR="006C3FAF" w:rsidRDefault="002E58CC">
      <w:pPr>
        <w:rPr>
          <w:b/>
          <w:bCs/>
          <w:szCs w:val="24"/>
        </w:rPr>
      </w:pPr>
      <w:r w:rsidRPr="00110B46">
        <w:rPr>
          <w:noProof/>
          <w:color w:val="FFFFFF" w:themeColor="background1"/>
        </w:rPr>
        <w:lastRenderedPageBreak/>
        <mc:AlternateContent>
          <mc:Choice Requires="wps">
            <w:drawing>
              <wp:anchor distT="0" distB="0" distL="114300" distR="114300" simplePos="0" relativeHeight="251658254" behindDoc="1" locked="0" layoutInCell="1" allowOverlap="1" wp14:anchorId="71323D4B" wp14:editId="5C977F50">
                <wp:simplePos x="0" y="0"/>
                <wp:positionH relativeFrom="page">
                  <wp:posOffset>-13856</wp:posOffset>
                </wp:positionH>
                <wp:positionV relativeFrom="paragraph">
                  <wp:posOffset>-914400</wp:posOffset>
                </wp:positionV>
                <wp:extent cx="7578437" cy="10877550"/>
                <wp:effectExtent l="0" t="0" r="22860" b="19050"/>
                <wp:wrapNone/>
                <wp:docPr id="19" name="Rectangle 19"/>
                <wp:cNvGraphicFramePr/>
                <a:graphic xmlns:a="http://schemas.openxmlformats.org/drawingml/2006/main">
                  <a:graphicData uri="http://schemas.microsoft.com/office/word/2010/wordprocessingShape">
                    <wps:wsp>
                      <wps:cNvSpPr/>
                      <wps:spPr>
                        <a:xfrm>
                          <a:off x="0" y="0"/>
                          <a:ext cx="7578437" cy="10877550"/>
                        </a:xfrm>
                        <a:prstGeom prst="rect">
                          <a:avLst/>
                        </a:prstGeom>
                        <a:solidFill>
                          <a:srgbClr val="201547"/>
                        </a:solid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8B5E0" w14:textId="77777777" w:rsidR="0037664E" w:rsidRDefault="0037664E" w:rsidP="003766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23D4B" id="Rectangle 19" o:spid="_x0000_s1037" style="position:absolute;margin-left:-1.1pt;margin-top:-1in;width:596.75pt;height:856.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" fillcolor="#201547" strokecolor="#201547" strokeweight="1pt">
                <v:textbox>
                  <w:txbxContent>
                    <w:p w14:paraId="5F28B5E0" w14:textId="77777777" w:rsidR="0037664E" w:rsidRDefault="0037664E" w:rsidP="0037664E">
                      <w:pPr>
                        <w:jc w:val="center"/>
                      </w:pPr>
                    </w:p>
                  </w:txbxContent>
                </v:textbox>
                <w10:wrap anchorx="page"/>
              </v:rect>
            </w:pict>
          </mc:Fallback>
        </mc:AlternateContent>
      </w:r>
    </w:p>
    <w:p w14:paraId="0D7E2517" w14:textId="720D25F5" w:rsidR="009B6FD8" w:rsidRDefault="0037664E">
      <w:r>
        <w:rPr>
          <w:noProof/>
          <w:color w:val="FFFFFF" w:themeColor="background1"/>
        </w:rPr>
        <mc:AlternateContent>
          <mc:Choice Requires="wps">
            <w:drawing>
              <wp:anchor distT="0" distB="0" distL="114300" distR="114300" simplePos="0" relativeHeight="251658256" behindDoc="0" locked="0" layoutInCell="1" allowOverlap="1" wp14:anchorId="375955B6" wp14:editId="2232AA2C">
                <wp:simplePos x="0" y="0"/>
                <wp:positionH relativeFrom="column">
                  <wp:posOffset>118745</wp:posOffset>
                </wp:positionH>
                <wp:positionV relativeFrom="paragraph">
                  <wp:posOffset>571500</wp:posOffset>
                </wp:positionV>
                <wp:extent cx="5962650" cy="78009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962650" cy="7800975"/>
                        </a:xfrm>
                        <a:prstGeom prst="rect">
                          <a:avLst/>
                        </a:prstGeom>
                        <a:noFill/>
                        <a:ln w="6350">
                          <a:noFill/>
                        </a:ln>
                      </wps:spPr>
                      <wps:txbx>
                        <w:txbxContent>
                          <w:p w14:paraId="7B0D087A" w14:textId="77777777" w:rsidR="0037664E" w:rsidRPr="00110B46" w:rsidRDefault="0037664E" w:rsidP="0037664E">
                            <w:pPr>
                              <w:pStyle w:val="Heading1-report"/>
                              <w:rPr>
                                <w:color w:val="FFFFFF" w:themeColor="background1"/>
                              </w:rPr>
                            </w:pPr>
                            <w:r w:rsidRPr="00110B46">
                              <w:rPr>
                                <w:color w:val="FFFFFF" w:themeColor="background1"/>
                              </w:rPr>
                              <w:t>A better future with human rights</w:t>
                            </w:r>
                          </w:p>
                          <w:p w14:paraId="3E0B18D9" w14:textId="77777777" w:rsidR="0037664E" w:rsidRPr="005E065D" w:rsidRDefault="0037664E" w:rsidP="0037664E">
                            <w:pPr>
                              <w:rPr>
                                <w:color w:val="FFFFFF" w:themeColor="background1"/>
                                <w:sz w:val="26"/>
                                <w:szCs w:val="26"/>
                              </w:rPr>
                            </w:pPr>
                            <w:r w:rsidRPr="005E065D">
                              <w:rPr>
                                <w:color w:val="FFFFFF" w:themeColor="background1"/>
                                <w:sz w:val="26"/>
                                <w:szCs w:val="26"/>
                              </w:rPr>
                              <w:t xml:space="preserve">A future mental health and wellbeing system built on human rights will look radically different, for the better. These differences may be </w:t>
                            </w:r>
                            <w:r>
                              <w:rPr>
                                <w:color w:val="FFFFFF" w:themeColor="background1"/>
                                <w:sz w:val="26"/>
                                <w:szCs w:val="26"/>
                              </w:rPr>
                              <w:t>large or incremental in nature</w:t>
                            </w:r>
                            <w:r w:rsidRPr="005E065D">
                              <w:rPr>
                                <w:color w:val="FFFFFF" w:themeColor="background1"/>
                                <w:sz w:val="26"/>
                                <w:szCs w:val="26"/>
                              </w:rPr>
                              <w:t>. They are best expressed through ten statements.</w:t>
                            </w:r>
                          </w:p>
                          <w:p w14:paraId="4AC4FF4B" w14:textId="77777777" w:rsidR="0037664E" w:rsidRDefault="0037664E" w:rsidP="0037664E">
                            <w:pPr>
                              <w:pStyle w:val="Heading3-report"/>
                              <w:rPr>
                                <w:color w:val="FFFFFF" w:themeColor="background1"/>
                              </w:rPr>
                            </w:pPr>
                          </w:p>
                          <w:p w14:paraId="0282BE83" w14:textId="77777777" w:rsidR="0037664E" w:rsidRPr="008009B5" w:rsidRDefault="0037664E" w:rsidP="0037664E">
                            <w:pPr>
                              <w:pStyle w:val="Heading3-report"/>
                              <w:rPr>
                                <w:color w:val="FFFFFF" w:themeColor="background1"/>
                              </w:rPr>
                            </w:pPr>
                            <w:r w:rsidRPr="005E065D">
                              <w:rPr>
                                <w:color w:val="FFFFFF" w:themeColor="background1"/>
                              </w:rPr>
                              <w:t xml:space="preserve">A future mental health and wellbeing system that has embedded human rights </w:t>
                            </w:r>
                            <w:r w:rsidRPr="008009B5">
                              <w:rPr>
                                <w:color w:val="FFFFFF" w:themeColor="background1"/>
                              </w:rPr>
                              <w:t>will</w:t>
                            </w:r>
                            <w:r>
                              <w:rPr>
                                <w:color w:val="FFFFFF" w:themeColor="background1"/>
                              </w:rPr>
                              <w:t xml:space="preserve"> ensure that</w:t>
                            </w:r>
                            <w:r w:rsidRPr="008009B5">
                              <w:rPr>
                                <w:color w:val="FFFFFF" w:themeColor="background1"/>
                              </w:rPr>
                              <w:t>…</w:t>
                            </w:r>
                          </w:p>
                          <w:p w14:paraId="6CD34808" w14:textId="3A930B75"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All </w:t>
                            </w:r>
                            <w:r w:rsidRPr="008009B5">
                              <w:rPr>
                                <w:color w:val="FFFFFF" w:themeColor="background1"/>
                              </w:rPr>
                              <w:t>Victorians</w:t>
                            </w:r>
                            <w:r>
                              <w:rPr>
                                <w:color w:val="FFFFFF" w:themeColor="background1"/>
                              </w:rPr>
                              <w:t xml:space="preserve"> have the best chance to live the life they want with dignity and free of discrimination and violence, ultimately supporting their mental health and wellbeing</w:t>
                            </w:r>
                            <w:r w:rsidR="00244AD9">
                              <w:rPr>
                                <w:color w:val="FFFFFF" w:themeColor="background1"/>
                              </w:rPr>
                              <w:t>.</w:t>
                            </w:r>
                          </w:p>
                          <w:p w14:paraId="007F4DB4" w14:textId="35D2A637"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Mental health and wellbeing services are safe to those who use and work in them, inclusive of all Victorians, and accountable to government, people with lived experience and the community for their performance</w:t>
                            </w:r>
                            <w:r w:rsidR="00244AD9">
                              <w:rPr>
                                <w:color w:val="FFFFFF" w:themeColor="background1"/>
                              </w:rPr>
                              <w:t>.</w:t>
                            </w:r>
                          </w:p>
                          <w:p w14:paraId="2ED4A113" w14:textId="6D3F606C"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Mental health and wellbeing services provide the kinds of services, treatments and supports that consumers </w:t>
                            </w:r>
                            <w:r w:rsidRPr="004671A6">
                              <w:rPr>
                                <w:i/>
                                <w:iCs/>
                                <w:color w:val="FFFFFF" w:themeColor="background1"/>
                              </w:rPr>
                              <w:t>want</w:t>
                            </w:r>
                            <w:r>
                              <w:rPr>
                                <w:color w:val="FFFFFF" w:themeColor="background1"/>
                              </w:rPr>
                              <w:t>, responding to their individual needs and preferences</w:t>
                            </w:r>
                            <w:r w:rsidR="00244AD9">
                              <w:rPr>
                                <w:color w:val="FFFFFF" w:themeColor="background1"/>
                              </w:rPr>
                              <w:t>.</w:t>
                            </w:r>
                          </w:p>
                          <w:p w14:paraId="2E340F9A" w14:textId="33630446"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Every Victorian can access mental health care and wellbeing supports, not just those from particular backgrounds or with the greatest means</w:t>
                            </w:r>
                            <w:r w:rsidR="00244AD9">
                              <w:rPr>
                                <w:color w:val="FFFFFF" w:themeColor="background1"/>
                              </w:rPr>
                              <w:t>.</w:t>
                            </w:r>
                          </w:p>
                          <w:p w14:paraId="1E4740AE" w14:textId="13780202"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Mental health and wellbeing services provided mental health and wellbeing care, </w:t>
                            </w:r>
                            <w:r w:rsidR="00244AD9">
                              <w:rPr>
                                <w:color w:val="FFFFFF" w:themeColor="background1"/>
                              </w:rPr>
                              <w:t>treatment,</w:t>
                            </w:r>
                            <w:r>
                              <w:rPr>
                                <w:color w:val="FFFFFF" w:themeColor="background1"/>
                              </w:rPr>
                              <w:t xml:space="preserve"> and support in alignment with best-practice standards on informed consent and principles of equality, autonomy and supported decision-making</w:t>
                            </w:r>
                            <w:r w:rsidR="00244AD9">
                              <w:rPr>
                                <w:color w:val="FFFFFF" w:themeColor="background1"/>
                              </w:rPr>
                              <w:t>.</w:t>
                            </w:r>
                          </w:p>
                          <w:p w14:paraId="2E89181C" w14:textId="79E63B91"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Existing and new mental health and wellbeing workforce members will have the skills, </w:t>
                            </w:r>
                            <w:r w:rsidR="00244AD9">
                              <w:rPr>
                                <w:color w:val="FFFFFF" w:themeColor="background1"/>
                              </w:rPr>
                              <w:t>knowledge,</w:t>
                            </w:r>
                            <w:r>
                              <w:rPr>
                                <w:color w:val="FFFFFF" w:themeColor="background1"/>
                              </w:rPr>
                              <w:t xml:space="preserve"> and capability to provide the care, treatment and support that consumers want, and are able to respond to their diverse and dynamic needs and preferences</w:t>
                            </w:r>
                            <w:r w:rsidR="00244AD9">
                              <w:rPr>
                                <w:color w:val="FFFFFF" w:themeColor="background1"/>
                              </w:rPr>
                              <w:t>.</w:t>
                            </w:r>
                          </w:p>
                          <w:p w14:paraId="5C6EB18A" w14:textId="14A5588D"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All mental health workforce members, including those who are consumers or family members, carers or supporters, can bring their </w:t>
                            </w:r>
                            <w:r w:rsidR="00244AD9">
                              <w:rPr>
                                <w:color w:val="FFFFFF" w:themeColor="background1"/>
                              </w:rPr>
                              <w:t>full self</w:t>
                            </w:r>
                            <w:r>
                              <w:rPr>
                                <w:color w:val="FFFFFF" w:themeColor="background1"/>
                              </w:rPr>
                              <w:t xml:space="preserve"> to work and have their skills and lived experiences honoured and welcomed</w:t>
                            </w:r>
                            <w:r w:rsidR="00244AD9">
                              <w:rPr>
                                <w:color w:val="FFFFFF" w:themeColor="background1"/>
                              </w:rPr>
                              <w:t>.</w:t>
                            </w:r>
                          </w:p>
                          <w:p w14:paraId="1D9DE8A5" w14:textId="406AFF4D" w:rsidR="0037664E" w:rsidRPr="009C525D"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The mental health and wellbeing system will recognise the unique knowledge and role of families, carers and supporters, providing them support, while also maintaining </w:t>
                            </w:r>
                            <w:r w:rsidRPr="009C525D">
                              <w:rPr>
                                <w:color w:val="FFFFFF" w:themeColor="background1"/>
                              </w:rPr>
                              <w:t>consumer rights</w:t>
                            </w:r>
                            <w:r w:rsidR="00244AD9">
                              <w:rPr>
                                <w:color w:val="FFFFFF" w:themeColor="background1"/>
                              </w:rPr>
                              <w:t>.</w:t>
                            </w:r>
                          </w:p>
                          <w:p w14:paraId="41BF231D" w14:textId="77777777" w:rsidR="0037664E" w:rsidRDefault="00376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55B6" id="Text Box 34" o:spid="_x0000_s1038" type="#_x0000_t202" style="position:absolute;margin-left:9.35pt;margin-top:45pt;width:469.5pt;height:614.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" filled="f" stroked="f" strokeweight=".5pt">
                <v:textbox>
                  <w:txbxContent>
                    <w:p w14:paraId="7B0D087A" w14:textId="77777777" w:rsidR="0037664E" w:rsidRPr="00110B46" w:rsidRDefault="0037664E" w:rsidP="0037664E">
                      <w:pPr>
                        <w:pStyle w:val="Heading1-report"/>
                        <w:rPr>
                          <w:color w:val="FFFFFF" w:themeColor="background1"/>
                        </w:rPr>
                      </w:pPr>
                      <w:r w:rsidRPr="00110B46">
                        <w:rPr>
                          <w:color w:val="FFFFFF" w:themeColor="background1"/>
                        </w:rPr>
                        <w:t>A better future with human rights</w:t>
                      </w:r>
                    </w:p>
                    <w:p w14:paraId="3E0B18D9" w14:textId="77777777" w:rsidR="0037664E" w:rsidRPr="005E065D" w:rsidRDefault="0037664E" w:rsidP="0037664E">
                      <w:pPr>
                        <w:rPr>
                          <w:color w:val="FFFFFF" w:themeColor="background1"/>
                          <w:sz w:val="26"/>
                          <w:szCs w:val="26"/>
                        </w:rPr>
                      </w:pPr>
                      <w:r w:rsidRPr="005E065D">
                        <w:rPr>
                          <w:color w:val="FFFFFF" w:themeColor="background1"/>
                          <w:sz w:val="26"/>
                          <w:szCs w:val="26"/>
                        </w:rPr>
                        <w:t xml:space="preserve">A future mental health and wellbeing system built on human rights will look radically different, for the better. These differences may be </w:t>
                      </w:r>
                      <w:r>
                        <w:rPr>
                          <w:color w:val="FFFFFF" w:themeColor="background1"/>
                          <w:sz w:val="26"/>
                          <w:szCs w:val="26"/>
                        </w:rPr>
                        <w:t>large or incremental in nature</w:t>
                      </w:r>
                      <w:r w:rsidRPr="005E065D">
                        <w:rPr>
                          <w:color w:val="FFFFFF" w:themeColor="background1"/>
                          <w:sz w:val="26"/>
                          <w:szCs w:val="26"/>
                        </w:rPr>
                        <w:t>. They are best expressed through ten statements.</w:t>
                      </w:r>
                    </w:p>
                    <w:p w14:paraId="4AC4FF4B" w14:textId="77777777" w:rsidR="0037664E" w:rsidRDefault="0037664E" w:rsidP="0037664E">
                      <w:pPr>
                        <w:pStyle w:val="Heading3-report"/>
                        <w:rPr>
                          <w:color w:val="FFFFFF" w:themeColor="background1"/>
                        </w:rPr>
                      </w:pPr>
                    </w:p>
                    <w:p w14:paraId="0282BE83" w14:textId="77777777" w:rsidR="0037664E" w:rsidRPr="008009B5" w:rsidRDefault="0037664E" w:rsidP="0037664E">
                      <w:pPr>
                        <w:pStyle w:val="Heading3-report"/>
                        <w:rPr>
                          <w:color w:val="FFFFFF" w:themeColor="background1"/>
                        </w:rPr>
                      </w:pPr>
                      <w:r w:rsidRPr="005E065D">
                        <w:rPr>
                          <w:color w:val="FFFFFF" w:themeColor="background1"/>
                        </w:rPr>
                        <w:t xml:space="preserve">A future mental health and wellbeing system that has embedded human rights </w:t>
                      </w:r>
                      <w:r w:rsidRPr="008009B5">
                        <w:rPr>
                          <w:color w:val="FFFFFF" w:themeColor="background1"/>
                        </w:rPr>
                        <w:t>will</w:t>
                      </w:r>
                      <w:r>
                        <w:rPr>
                          <w:color w:val="FFFFFF" w:themeColor="background1"/>
                        </w:rPr>
                        <w:t xml:space="preserve"> ensure that</w:t>
                      </w:r>
                      <w:r w:rsidRPr="008009B5">
                        <w:rPr>
                          <w:color w:val="FFFFFF" w:themeColor="background1"/>
                        </w:rPr>
                        <w:t>…</w:t>
                      </w:r>
                    </w:p>
                    <w:p w14:paraId="6CD34808" w14:textId="3A930B75"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All </w:t>
                      </w:r>
                      <w:r w:rsidRPr="008009B5">
                        <w:rPr>
                          <w:color w:val="FFFFFF" w:themeColor="background1"/>
                        </w:rPr>
                        <w:t>Victorians</w:t>
                      </w:r>
                      <w:r>
                        <w:rPr>
                          <w:color w:val="FFFFFF" w:themeColor="background1"/>
                        </w:rPr>
                        <w:t xml:space="preserve"> have the best chance to live the life they want with dignity and free of discrimination and violence, ultimately supporting their mental health and wellbeing</w:t>
                      </w:r>
                      <w:r w:rsidR="00244AD9">
                        <w:rPr>
                          <w:color w:val="FFFFFF" w:themeColor="background1"/>
                        </w:rPr>
                        <w:t>.</w:t>
                      </w:r>
                    </w:p>
                    <w:p w14:paraId="007F4DB4" w14:textId="35D2A637"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Mental health and wellbeing services are safe to those who use and work in them, inclusive of all Victorians, and accountable to government, people with lived experience and the community for their performance</w:t>
                      </w:r>
                      <w:r w:rsidR="00244AD9">
                        <w:rPr>
                          <w:color w:val="FFFFFF" w:themeColor="background1"/>
                        </w:rPr>
                        <w:t>.</w:t>
                      </w:r>
                    </w:p>
                    <w:p w14:paraId="2ED4A113" w14:textId="6D3F606C"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Mental health and wellbeing services provide the kinds of services, treatments and supports that consumers </w:t>
                      </w:r>
                      <w:r w:rsidRPr="004671A6">
                        <w:rPr>
                          <w:i/>
                          <w:iCs/>
                          <w:color w:val="FFFFFF" w:themeColor="background1"/>
                        </w:rPr>
                        <w:t>want</w:t>
                      </w:r>
                      <w:r>
                        <w:rPr>
                          <w:color w:val="FFFFFF" w:themeColor="background1"/>
                        </w:rPr>
                        <w:t>, responding to their individual needs and preferences</w:t>
                      </w:r>
                      <w:r w:rsidR="00244AD9">
                        <w:rPr>
                          <w:color w:val="FFFFFF" w:themeColor="background1"/>
                        </w:rPr>
                        <w:t>.</w:t>
                      </w:r>
                    </w:p>
                    <w:p w14:paraId="2E340F9A" w14:textId="33630446"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Every Victorian can access mental health care and wellbeing supports, not just those from particular backgrounds or with the greatest means</w:t>
                      </w:r>
                      <w:r w:rsidR="00244AD9">
                        <w:rPr>
                          <w:color w:val="FFFFFF" w:themeColor="background1"/>
                        </w:rPr>
                        <w:t>.</w:t>
                      </w:r>
                    </w:p>
                    <w:p w14:paraId="1E4740AE" w14:textId="13780202"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Mental health and wellbeing services provided mental health and wellbeing care, </w:t>
                      </w:r>
                      <w:r w:rsidR="00244AD9">
                        <w:rPr>
                          <w:color w:val="FFFFFF" w:themeColor="background1"/>
                        </w:rPr>
                        <w:t>treatment,</w:t>
                      </w:r>
                      <w:r>
                        <w:rPr>
                          <w:color w:val="FFFFFF" w:themeColor="background1"/>
                        </w:rPr>
                        <w:t xml:space="preserve"> and support in alignment with best-practice standards on informed consent and principles of equality, autonomy and supported decision-making</w:t>
                      </w:r>
                      <w:r w:rsidR="00244AD9">
                        <w:rPr>
                          <w:color w:val="FFFFFF" w:themeColor="background1"/>
                        </w:rPr>
                        <w:t>.</w:t>
                      </w:r>
                    </w:p>
                    <w:p w14:paraId="2E89181C" w14:textId="79E63B91"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Existing and new mental health and wellbeing workforce members will have the skills, </w:t>
                      </w:r>
                      <w:r w:rsidR="00244AD9">
                        <w:rPr>
                          <w:color w:val="FFFFFF" w:themeColor="background1"/>
                        </w:rPr>
                        <w:t>knowledge,</w:t>
                      </w:r>
                      <w:r>
                        <w:rPr>
                          <w:color w:val="FFFFFF" w:themeColor="background1"/>
                        </w:rPr>
                        <w:t xml:space="preserve"> and capability to provide the care, treatment and support that consumers want, and are able to respond to their diverse and dynamic needs and preferences</w:t>
                      </w:r>
                      <w:r w:rsidR="00244AD9">
                        <w:rPr>
                          <w:color w:val="FFFFFF" w:themeColor="background1"/>
                        </w:rPr>
                        <w:t>.</w:t>
                      </w:r>
                    </w:p>
                    <w:p w14:paraId="5C6EB18A" w14:textId="14A5588D" w:rsidR="0037664E"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All mental health workforce members, including those who are consumers or family members, carers or supporters, can bring their </w:t>
                      </w:r>
                      <w:r w:rsidR="00244AD9">
                        <w:rPr>
                          <w:color w:val="FFFFFF" w:themeColor="background1"/>
                        </w:rPr>
                        <w:t>full self</w:t>
                      </w:r>
                      <w:r>
                        <w:rPr>
                          <w:color w:val="FFFFFF" w:themeColor="background1"/>
                        </w:rPr>
                        <w:t xml:space="preserve"> to work and have their skills and lived experiences honoured and welcomed</w:t>
                      </w:r>
                      <w:r w:rsidR="00244AD9">
                        <w:rPr>
                          <w:color w:val="FFFFFF" w:themeColor="background1"/>
                        </w:rPr>
                        <w:t>.</w:t>
                      </w:r>
                    </w:p>
                    <w:p w14:paraId="1D9DE8A5" w14:textId="406AFF4D" w:rsidR="0037664E" w:rsidRPr="009C525D" w:rsidRDefault="0037664E" w:rsidP="00E225B4">
                      <w:pPr>
                        <w:pStyle w:val="ListParagraph"/>
                        <w:numPr>
                          <w:ilvl w:val="0"/>
                          <w:numId w:val="34"/>
                        </w:numPr>
                        <w:spacing w:before="240"/>
                        <w:ind w:left="357" w:hanging="357"/>
                        <w:rPr>
                          <w:color w:val="FFFFFF" w:themeColor="background1"/>
                        </w:rPr>
                      </w:pPr>
                      <w:r>
                        <w:rPr>
                          <w:color w:val="FFFFFF" w:themeColor="background1"/>
                        </w:rPr>
                        <w:t xml:space="preserve">The mental health and wellbeing system will recognise the unique knowledge and role of families, carers and supporters, providing them support, while also maintaining </w:t>
                      </w:r>
                      <w:r w:rsidRPr="009C525D">
                        <w:rPr>
                          <w:color w:val="FFFFFF" w:themeColor="background1"/>
                        </w:rPr>
                        <w:t>consumer rights</w:t>
                      </w:r>
                      <w:r w:rsidR="00244AD9">
                        <w:rPr>
                          <w:color w:val="FFFFFF" w:themeColor="background1"/>
                        </w:rPr>
                        <w:t>.</w:t>
                      </w:r>
                    </w:p>
                    <w:p w14:paraId="41BF231D" w14:textId="77777777" w:rsidR="0037664E" w:rsidRDefault="0037664E"/>
                  </w:txbxContent>
                </v:textbox>
              </v:shape>
            </w:pict>
          </mc:Fallback>
        </mc:AlternateContent>
      </w:r>
      <w:r>
        <w:rPr>
          <w:noProof/>
          <w:color w:val="FFFFFF" w:themeColor="background1"/>
        </w:rPr>
        <w:drawing>
          <wp:anchor distT="0" distB="0" distL="114300" distR="114300" simplePos="0" relativeHeight="251658255" behindDoc="0" locked="0" layoutInCell="1" allowOverlap="1" wp14:anchorId="02F443E1" wp14:editId="3579F181">
            <wp:simplePos x="0" y="0"/>
            <wp:positionH relativeFrom="margin">
              <wp:posOffset>-14605</wp:posOffset>
            </wp:positionH>
            <wp:positionV relativeFrom="paragraph">
              <wp:posOffset>-262255</wp:posOffset>
            </wp:positionV>
            <wp:extent cx="914400" cy="914400"/>
            <wp:effectExtent l="0" t="0" r="0" b="0"/>
            <wp:wrapNone/>
            <wp:docPr id="32" name="Graphic 32"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Kite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rsidR="009B6FD8">
        <w:br w:type="page"/>
      </w:r>
    </w:p>
    <w:p w14:paraId="3776A0D7" w14:textId="1B1BA538" w:rsidR="00AE7499" w:rsidRDefault="00346DAD">
      <w:pPr>
        <w:rPr>
          <w:b/>
          <w:bCs/>
          <w:color w:val="201547"/>
          <w:sz w:val="36"/>
          <w:szCs w:val="36"/>
        </w:rPr>
      </w:pPr>
      <w:r>
        <w:rPr>
          <w:noProof/>
        </w:rPr>
        <w:lastRenderedPageBreak/>
        <w:drawing>
          <wp:anchor distT="0" distB="0" distL="114300" distR="114300" simplePos="0" relativeHeight="251662363" behindDoc="0" locked="0" layoutInCell="1" allowOverlap="1" wp14:anchorId="17F7EF92" wp14:editId="34E06118">
            <wp:simplePos x="0" y="0"/>
            <wp:positionH relativeFrom="page">
              <wp:align>left</wp:align>
            </wp:positionH>
            <wp:positionV relativeFrom="paragraph">
              <wp:posOffset>-914400</wp:posOffset>
            </wp:positionV>
            <wp:extent cx="7559453" cy="10692297"/>
            <wp:effectExtent l="0" t="0" r="3810" b="0"/>
            <wp:wrapNone/>
            <wp:docPr id="642117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17485"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559453" cy="1069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499">
        <w:br w:type="page"/>
      </w:r>
    </w:p>
    <w:p w14:paraId="3E457695" w14:textId="529BA0DA" w:rsidR="00406F25" w:rsidRDefault="00406F25" w:rsidP="003C2ECB">
      <w:pPr>
        <w:pStyle w:val="Heading2-report"/>
      </w:pPr>
      <w:r>
        <w:lastRenderedPageBreak/>
        <w:t>Resources</w:t>
      </w:r>
    </w:p>
    <w:p w14:paraId="7F2CB171" w14:textId="3A110EA6" w:rsidR="00B107E6" w:rsidRPr="00B107E6" w:rsidRDefault="00B107E6" w:rsidP="00B107E6">
      <w:r>
        <w:t>Staff have ongoing access to the Charter of Human Rights in Victoria online education program. The online education program is open to VPS employees and local government staff members. That guide provides more in-depth information on the Charter as it relates to complaint and remedies, the legislative process as well as the role of courts and tribunals.</w:t>
      </w:r>
    </w:p>
    <w:p w14:paraId="741372E5" w14:textId="7F1BDB19" w:rsidR="00092F77" w:rsidRPr="00560BE6" w:rsidRDefault="0C85D5A8" w:rsidP="00092F77">
      <w:pPr>
        <w:pStyle w:val="Heading3-report"/>
      </w:pPr>
      <w:r>
        <w:t>Charter Resources</w:t>
      </w:r>
    </w:p>
    <w:p w14:paraId="59D8D256" w14:textId="1BA0F14F" w:rsidR="008A3741" w:rsidRPr="0030446C" w:rsidRDefault="00B1091D" w:rsidP="002648DD">
      <w:pPr>
        <w:pStyle w:val="Bullet"/>
        <w:spacing w:before="240"/>
        <w:ind w:left="714" w:hanging="357"/>
      </w:pPr>
      <w:r>
        <w:t xml:space="preserve">Victorian Equal Opportunity and Human Rights Commission, </w:t>
      </w:r>
      <w:hyperlink r:id="rId45" w:history="1">
        <w:r w:rsidR="008A3741" w:rsidRPr="00EC44DA">
          <w:rPr>
            <w:rStyle w:val="Hyperlink"/>
            <w:i/>
            <w:iCs/>
          </w:rPr>
          <w:t>The Charter of Human Rights and Responsibilities – A guide for Victorian Public Sector Workers</w:t>
        </w:r>
      </w:hyperlink>
      <w:r>
        <w:t xml:space="preserve">, July 2019. The guide </w:t>
      </w:r>
      <w:r w:rsidR="00596876">
        <w:t>is designed as a practical tool to help public sector employees to build their human rights knowledge and capability.</w:t>
      </w:r>
    </w:p>
    <w:p w14:paraId="08562903" w14:textId="5A17C70D" w:rsidR="0030446C" w:rsidRDefault="0030446C" w:rsidP="002648DD">
      <w:pPr>
        <w:pStyle w:val="Bullet"/>
        <w:spacing w:before="240"/>
        <w:ind w:left="714" w:hanging="357"/>
      </w:pPr>
      <w:r>
        <w:t>Judicial College of Victoria,</w:t>
      </w:r>
      <w:r w:rsidR="004A0EB5">
        <w:t xml:space="preserve"> </w:t>
      </w:r>
      <w:hyperlink r:id="rId46" w:history="1">
        <w:r w:rsidR="004A0EB5" w:rsidRPr="004A0EB5">
          <w:rPr>
            <w:rStyle w:val="Hyperlink"/>
          </w:rPr>
          <w:t>Charter of Human Rights Bench Book</w:t>
        </w:r>
      </w:hyperlink>
      <w:r w:rsidR="004A0EB5">
        <w:t xml:space="preserve">, </w:t>
      </w:r>
      <w:r w:rsidR="00DC21CE">
        <w:t>March 2022</w:t>
      </w:r>
      <w:r w:rsidR="00523CFB">
        <w:t xml:space="preserve">. The Bench Book </w:t>
      </w:r>
      <w:r w:rsidR="00DF53A5">
        <w:t xml:space="preserve">outlines the rights and operative provisions of the </w:t>
      </w:r>
      <w:r w:rsidR="00DF53A5">
        <w:rPr>
          <w:i/>
          <w:iCs/>
        </w:rPr>
        <w:t>Charter</w:t>
      </w:r>
      <w:r w:rsidR="003B63F1">
        <w:t xml:space="preserve">, drawing on relevant Victorian case law to discuss the operation </w:t>
      </w:r>
      <w:r w:rsidR="00743009">
        <w:t>and effect</w:t>
      </w:r>
      <w:r w:rsidR="00E479A3">
        <w:t>s</w:t>
      </w:r>
      <w:r w:rsidR="00743009">
        <w:t xml:space="preserve"> of the various provisions.</w:t>
      </w:r>
    </w:p>
    <w:p w14:paraId="26C45425" w14:textId="628B071D" w:rsidR="0085520D" w:rsidRDefault="0085520D" w:rsidP="002648DD">
      <w:pPr>
        <w:pStyle w:val="Bullet"/>
        <w:spacing w:before="240"/>
        <w:ind w:left="714" w:hanging="357"/>
      </w:pPr>
      <w:r>
        <w:t xml:space="preserve">Judicial College of Victoria, </w:t>
      </w:r>
      <w:hyperlink r:id="rId47" w:history="1">
        <w:r w:rsidR="00543E58" w:rsidRPr="007E2165">
          <w:rPr>
            <w:rStyle w:val="Hyperlink"/>
            <w:i/>
            <w:iCs/>
          </w:rPr>
          <w:t>Charter case collection</w:t>
        </w:r>
      </w:hyperlink>
      <w:r w:rsidR="00543E58">
        <w:t xml:space="preserve">, November 2022. This resource provides brief summaries of decisions from the Victorian Court of Appeal and the Supreme Court of Victoria which have discussed the </w:t>
      </w:r>
      <w:r w:rsidR="00543E58" w:rsidRPr="006C2A69">
        <w:t>Charter.</w:t>
      </w:r>
    </w:p>
    <w:p w14:paraId="60635577" w14:textId="77777777" w:rsidR="00EA0359" w:rsidRDefault="00282441" w:rsidP="00EA0359">
      <w:pPr>
        <w:pStyle w:val="Bullet"/>
        <w:spacing w:before="240"/>
        <w:ind w:left="714" w:hanging="357"/>
      </w:pPr>
      <w:r>
        <w:t xml:space="preserve">Victorian Ombudsman, </w:t>
      </w:r>
      <w:hyperlink r:id="rId48" w:history="1">
        <w:r w:rsidRPr="000B16D9">
          <w:rPr>
            <w:rStyle w:val="Hyperlink"/>
            <w:i/>
            <w:iCs/>
          </w:rPr>
          <w:t>Good Practice Guide: Managing Complaints Involving Human Rights</w:t>
        </w:r>
      </w:hyperlink>
      <w:r>
        <w:t>, May 2017</w:t>
      </w:r>
      <w:r w:rsidR="000B16D9">
        <w:t>. This guide is designed to help public organisations deal effectively with complaints involving human rights.</w:t>
      </w:r>
    </w:p>
    <w:p w14:paraId="5C70D89A" w14:textId="77CE28B5" w:rsidR="00EA0359" w:rsidRDefault="00EA0359" w:rsidP="007D13C6">
      <w:pPr>
        <w:pStyle w:val="Bullet"/>
        <w:spacing w:before="240"/>
        <w:ind w:left="714" w:hanging="357"/>
      </w:pPr>
      <w:r w:rsidRPr="00EA0359">
        <w:t xml:space="preserve">Simon </w:t>
      </w:r>
      <w:r w:rsidRPr="00017C60">
        <w:t>Katterl</w:t>
      </w:r>
      <w:r w:rsidRPr="00EA0359">
        <w:t xml:space="preserve"> and Chris Maylea, ‘Keeping Human Rights in Mind: Embedding the Victorian Charter of Human Rights into the Public Mental Health System’ (2021) 27(1) </w:t>
      </w:r>
      <w:r w:rsidRPr="00836FFE">
        <w:rPr>
          <w:i/>
          <w:iCs/>
        </w:rPr>
        <w:t>Australian Journal of Human Rights</w:t>
      </w:r>
      <w:r w:rsidRPr="00EA0359">
        <w:t xml:space="preserve"> 58</w:t>
      </w:r>
      <w:r w:rsidR="00662F33">
        <w:t>.</w:t>
      </w:r>
    </w:p>
    <w:p w14:paraId="09E31A22" w14:textId="1A60CB97" w:rsidR="00406F25" w:rsidRDefault="00560BE6" w:rsidP="007D13C6">
      <w:pPr>
        <w:pStyle w:val="Heading3-report"/>
        <w:spacing w:before="240"/>
      </w:pPr>
      <w:r>
        <w:t xml:space="preserve">Broader </w:t>
      </w:r>
      <w:r w:rsidR="00B95CED">
        <w:t>h</w:t>
      </w:r>
      <w:r>
        <w:t xml:space="preserve">uman </w:t>
      </w:r>
      <w:r w:rsidR="00B95CED">
        <w:t>r</w:t>
      </w:r>
      <w:r>
        <w:t xml:space="preserve">ights </w:t>
      </w:r>
      <w:r w:rsidR="00B95CED">
        <w:t>and</w:t>
      </w:r>
      <w:r w:rsidR="001012D5">
        <w:t xml:space="preserve"> </w:t>
      </w:r>
      <w:r w:rsidR="00B95CED">
        <w:t>m</w:t>
      </w:r>
      <w:r w:rsidR="001012D5">
        <w:t xml:space="preserve">ental </w:t>
      </w:r>
      <w:r w:rsidR="00B95CED">
        <w:t>h</w:t>
      </w:r>
      <w:r w:rsidR="001012D5">
        <w:t xml:space="preserve">ealth </w:t>
      </w:r>
      <w:r w:rsidR="00B95CED">
        <w:t>r</w:t>
      </w:r>
      <w:r>
        <w:t>esources</w:t>
      </w:r>
    </w:p>
    <w:p w14:paraId="42CFA8CB" w14:textId="7E58F6C7" w:rsidR="000B77C7" w:rsidRPr="00FD0C5B" w:rsidRDefault="000B77C7" w:rsidP="007D13C6">
      <w:pPr>
        <w:pStyle w:val="Bullet"/>
        <w:spacing w:before="240"/>
        <w:ind w:left="714" w:hanging="357"/>
        <w:rPr>
          <w:szCs w:val="24"/>
          <w:lang w:eastAsia="en-AU"/>
        </w:rPr>
      </w:pPr>
      <w:r w:rsidRPr="000B77C7">
        <w:rPr>
          <w:lang w:eastAsia="en-AU"/>
        </w:rPr>
        <w:t>Indigo</w:t>
      </w:r>
      <w:r w:rsidR="00295A1A" w:rsidRPr="00295A1A">
        <w:rPr>
          <w:lang w:eastAsia="en-AU"/>
        </w:rPr>
        <w:t xml:space="preserve"> </w:t>
      </w:r>
      <w:r w:rsidR="00295A1A" w:rsidRPr="000B77C7">
        <w:rPr>
          <w:lang w:eastAsia="en-AU"/>
        </w:rPr>
        <w:t>Daya,</w:t>
      </w:r>
      <w:r w:rsidRPr="000B77C7">
        <w:rPr>
          <w:lang w:eastAsia="en-AU"/>
        </w:rPr>
        <w:t xml:space="preserve"> ‘Russian Dolls and Epistemic Crypts: A Lived Experience Reflection on Epistemic Injustice and Psychiatric Confinement’ (2022) 3(2) </w:t>
      </w:r>
      <w:r w:rsidRPr="000B77C7">
        <w:rPr>
          <w:i/>
          <w:iCs/>
          <w:lang w:eastAsia="en-AU"/>
        </w:rPr>
        <w:t>Incarceration</w:t>
      </w:r>
      <w:r w:rsidRPr="000B77C7">
        <w:rPr>
          <w:lang w:eastAsia="en-AU"/>
        </w:rPr>
        <w:t xml:space="preserve"> 26326663221103444</w:t>
      </w:r>
      <w:r w:rsidR="007E7672">
        <w:rPr>
          <w:lang w:eastAsia="en-AU"/>
        </w:rPr>
        <w:t>.</w:t>
      </w:r>
    </w:p>
    <w:p w14:paraId="098C65A9" w14:textId="4D27C322" w:rsidR="0008480C" w:rsidRPr="00FD0C5B" w:rsidRDefault="00FD0C5B" w:rsidP="007D13C6">
      <w:pPr>
        <w:pStyle w:val="Bullet"/>
        <w:spacing w:before="240"/>
        <w:ind w:left="714" w:hanging="357"/>
        <w:rPr>
          <w:szCs w:val="24"/>
          <w:lang w:eastAsia="en-AU"/>
        </w:rPr>
      </w:pPr>
      <w:r w:rsidRPr="00FD0C5B">
        <w:rPr>
          <w:szCs w:val="24"/>
        </w:rPr>
        <w:fldChar w:fldCharType="begin"/>
      </w:r>
      <w:r w:rsidR="007032CA">
        <w:rPr>
          <w:szCs w:val="24"/>
        </w:rPr>
        <w:instrText xml:space="preserve"> ADDIN ZOTERO_ITEM CSL_CITATION {"citationID":"NEXu6lR0","properties":{"formattedCitation":"Piers Gooding et al, \\uc0\\u8216{}Alternatives to Coercion in Mental Health Settings: A Literature Review\\uc0\\u8217{} [2018] {\\i{}Melbourne: Melbourne Social Equity Institute, University of Melbourne}.","plainCitation":"Piers Gooding et al, ‘Alternatives to Coercion in Mental Health Settings: A Literature Review’ [2018] Melbourne: Melbourne Social Equity Institute, University of Melbourne.","noteIndex":0},"citationItems":[{"id":25,"uris":["http://zotero.org/users/local/OLPofQUL/items/P8THKJ67"],"itemData":{"id":25,"type":"article-journal","container-title":"Melbourne: Melbourne Social Equity Institute, University of Melbourne","title":"Alternatives to coercion in mental health settings: A literature review","author":[{"family":"Gooding","given":"Piers"},{"family":"McSherry","given":"Bernadette"},{"family":"Roper","given":"C"},{"family":"Grey","given":"F"}],"issued":{"date-parts":[["2018"]]}}}],"schema":"https://github.com/citation-style-language/schema/raw/master/csl-citation.json"} </w:instrText>
      </w:r>
      <w:r w:rsidRPr="00FD0C5B">
        <w:rPr>
          <w:szCs w:val="24"/>
        </w:rPr>
        <w:fldChar w:fldCharType="separate"/>
      </w:r>
      <w:r w:rsidRPr="00FD0C5B">
        <w:rPr>
          <w:rFonts w:ascii="Calibri" w:hAnsi="Calibri" w:cs="Calibri"/>
          <w:szCs w:val="24"/>
        </w:rPr>
        <w:t xml:space="preserve">Piers Gooding et al, ‘Alternatives to Coercion in Mental Health Settings: A Literature Review’ [2018] </w:t>
      </w:r>
      <w:r w:rsidRPr="00FD0C5B">
        <w:rPr>
          <w:rFonts w:ascii="Calibri" w:hAnsi="Calibri" w:cs="Calibri"/>
          <w:i/>
          <w:iCs/>
          <w:szCs w:val="24"/>
        </w:rPr>
        <w:t>Melbourne: Melbourne Social Equity Institute, University of Melbourne</w:t>
      </w:r>
      <w:r w:rsidRPr="00FD0C5B">
        <w:rPr>
          <w:rFonts w:ascii="Calibri" w:hAnsi="Calibri" w:cs="Calibri"/>
          <w:szCs w:val="24"/>
        </w:rPr>
        <w:t>.</w:t>
      </w:r>
      <w:r w:rsidRPr="00FD0C5B">
        <w:rPr>
          <w:szCs w:val="24"/>
        </w:rPr>
        <w:fldChar w:fldCharType="end"/>
      </w:r>
    </w:p>
    <w:p w14:paraId="43105C7E" w14:textId="3100DF89" w:rsidR="00017C60" w:rsidRDefault="00017C60" w:rsidP="007D13C6">
      <w:pPr>
        <w:pStyle w:val="Bullet"/>
        <w:spacing w:before="240"/>
        <w:ind w:left="714" w:hanging="357"/>
        <w:rPr>
          <w:lang w:eastAsia="en-AU"/>
        </w:rPr>
      </w:pPr>
      <w:r>
        <w:rPr>
          <w:lang w:eastAsia="en-AU"/>
        </w:rPr>
        <w:t>Anne Wand</w:t>
      </w:r>
      <w:r w:rsidRPr="00017C60">
        <w:rPr>
          <w:lang w:eastAsia="en-AU"/>
        </w:rPr>
        <w:t xml:space="preserve"> and Timothy Wand, ‘“Admit Voluntary, Schedule If Tries to Leave”: Placing Mental Health Acts in the Context of Mental Health Law and Human Rights’ (2013) 21(2) </w:t>
      </w:r>
      <w:r w:rsidRPr="00017C60">
        <w:rPr>
          <w:i/>
          <w:iCs/>
          <w:lang w:eastAsia="en-AU"/>
        </w:rPr>
        <w:t>Australasian Psychiatry</w:t>
      </w:r>
      <w:r w:rsidRPr="00017C60">
        <w:rPr>
          <w:lang w:eastAsia="en-AU"/>
        </w:rPr>
        <w:t xml:space="preserve"> 137</w:t>
      </w:r>
      <w:r w:rsidR="007E7672">
        <w:rPr>
          <w:lang w:eastAsia="en-AU"/>
        </w:rPr>
        <w:t>.</w:t>
      </w:r>
    </w:p>
    <w:p w14:paraId="451533EF" w14:textId="11E34DA4" w:rsidR="00C06DBA" w:rsidRPr="00C06DBA" w:rsidRDefault="00C06DBA" w:rsidP="007D13C6">
      <w:pPr>
        <w:pStyle w:val="Bullet"/>
        <w:spacing w:before="240"/>
        <w:ind w:left="714" w:hanging="357"/>
        <w:rPr>
          <w:lang w:eastAsia="en-AU"/>
        </w:rPr>
      </w:pPr>
      <w:r>
        <w:rPr>
          <w:lang w:eastAsia="en-AU"/>
        </w:rPr>
        <w:lastRenderedPageBreak/>
        <w:t>Laura Davidson</w:t>
      </w:r>
      <w:r w:rsidRPr="00C06DBA">
        <w:rPr>
          <w:lang w:eastAsia="en-AU"/>
        </w:rPr>
        <w:t xml:space="preserve">, ‘A Key, Not a Straitjacket: The Case for Interim Mental Health Legislation Pending Complete Prohibition of Psychiatric Coercion in Accordance with the Convention on the Rights of Persons with Disabilities’ (2020) 22(1) </w:t>
      </w:r>
      <w:r w:rsidRPr="00C06DBA">
        <w:rPr>
          <w:i/>
          <w:iCs/>
          <w:lang w:eastAsia="en-AU"/>
        </w:rPr>
        <w:t>Health and Human Rights</w:t>
      </w:r>
      <w:r w:rsidRPr="00C06DBA">
        <w:rPr>
          <w:lang w:eastAsia="en-AU"/>
        </w:rPr>
        <w:t xml:space="preserve"> 163</w:t>
      </w:r>
      <w:r w:rsidR="007E7672">
        <w:rPr>
          <w:lang w:eastAsia="en-AU"/>
        </w:rPr>
        <w:t>.</w:t>
      </w:r>
    </w:p>
    <w:p w14:paraId="6B250FE1" w14:textId="421F1BB4" w:rsidR="005256E5" w:rsidRPr="005256E5" w:rsidRDefault="005256E5" w:rsidP="007D13C6">
      <w:pPr>
        <w:pStyle w:val="Bullet"/>
        <w:spacing w:before="240"/>
        <w:ind w:left="714" w:hanging="357"/>
        <w:rPr>
          <w:lang w:eastAsia="en-AU"/>
        </w:rPr>
      </w:pPr>
      <w:r>
        <w:rPr>
          <w:lang w:eastAsia="en-AU"/>
        </w:rPr>
        <w:t>Sebastian Von Peter</w:t>
      </w:r>
      <w:r w:rsidRPr="005256E5">
        <w:rPr>
          <w:lang w:eastAsia="en-AU"/>
        </w:rPr>
        <w:t xml:space="preserve"> et al, ‘Open </w:t>
      </w:r>
      <w:r w:rsidRPr="005256E5">
        <w:t>Dialogue</w:t>
      </w:r>
      <w:r w:rsidRPr="005256E5">
        <w:rPr>
          <w:lang w:eastAsia="en-AU"/>
        </w:rPr>
        <w:t xml:space="preserve"> as a Human Rights-Aligned Approach’ (2019) 10 </w:t>
      </w:r>
      <w:r w:rsidRPr="005256E5">
        <w:rPr>
          <w:i/>
          <w:iCs/>
          <w:lang w:eastAsia="en-AU"/>
        </w:rPr>
        <w:t>Frontiers in Psychiatry</w:t>
      </w:r>
      <w:r w:rsidRPr="005256E5">
        <w:rPr>
          <w:lang w:eastAsia="en-AU"/>
        </w:rPr>
        <w:t xml:space="preserve"> 387</w:t>
      </w:r>
      <w:r w:rsidR="007E7672">
        <w:rPr>
          <w:lang w:eastAsia="en-AU"/>
        </w:rPr>
        <w:t>.</w:t>
      </w:r>
    </w:p>
    <w:p w14:paraId="026BFEB6" w14:textId="6203BB96" w:rsidR="001012D5" w:rsidRDefault="00485582" w:rsidP="007D13C6">
      <w:pPr>
        <w:pStyle w:val="Bullet"/>
        <w:spacing w:before="240"/>
        <w:ind w:left="714" w:hanging="357"/>
        <w:rPr>
          <w:lang w:eastAsia="en-AU"/>
        </w:rPr>
      </w:pPr>
      <w:r>
        <w:rPr>
          <w:lang w:eastAsia="en-AU"/>
        </w:rPr>
        <w:t>D</w:t>
      </w:r>
      <w:r w:rsidRPr="00485582">
        <w:rPr>
          <w:lang w:eastAsia="en-AU"/>
        </w:rPr>
        <w:t xml:space="preserve">ainius Puras and Piers Gooding, ‘Mental Health and Human Rights in the 21st Century’ (2019) 18(1) </w:t>
      </w:r>
      <w:r w:rsidRPr="00485582">
        <w:rPr>
          <w:i/>
          <w:iCs/>
          <w:lang w:eastAsia="en-AU"/>
        </w:rPr>
        <w:t>World Psychiatry</w:t>
      </w:r>
      <w:r w:rsidRPr="00485582">
        <w:rPr>
          <w:lang w:eastAsia="en-AU"/>
        </w:rPr>
        <w:t xml:space="preserve"> 42</w:t>
      </w:r>
      <w:r w:rsidR="001012D5">
        <w:rPr>
          <w:lang w:eastAsia="en-AU"/>
        </w:rPr>
        <w:t>.</w:t>
      </w:r>
    </w:p>
    <w:p w14:paraId="4A3F5FCD" w14:textId="1A34538A" w:rsidR="00732A8E" w:rsidRPr="00732A8E" w:rsidRDefault="00732A8E" w:rsidP="007D13C6">
      <w:pPr>
        <w:pStyle w:val="Bullet"/>
        <w:spacing w:before="240"/>
        <w:ind w:left="714" w:hanging="357"/>
        <w:rPr>
          <w:lang w:eastAsia="en-AU"/>
        </w:rPr>
      </w:pPr>
      <w:r w:rsidRPr="00732A8E">
        <w:rPr>
          <w:lang w:eastAsia="en-AU"/>
        </w:rPr>
        <w:t xml:space="preserve">Vrinda </w:t>
      </w:r>
      <w:r w:rsidR="00E94C9B">
        <w:rPr>
          <w:lang w:eastAsia="en-AU"/>
        </w:rPr>
        <w:t xml:space="preserve">Edan </w:t>
      </w:r>
      <w:r w:rsidRPr="00732A8E">
        <w:rPr>
          <w:lang w:eastAsia="en-AU"/>
        </w:rPr>
        <w:t xml:space="preserve">and Chris Maylea, ‘A Model for Mental Health Advance Directives in the New Victorian Mental Health and Wellbeing Act’ [2021] </w:t>
      </w:r>
      <w:r w:rsidRPr="00732A8E">
        <w:rPr>
          <w:i/>
          <w:iCs/>
          <w:lang w:eastAsia="en-AU"/>
        </w:rPr>
        <w:t>Psychiatry, Psychology and Law</w:t>
      </w:r>
      <w:r w:rsidRPr="00732A8E">
        <w:rPr>
          <w:lang w:eastAsia="en-AU"/>
        </w:rPr>
        <w:t xml:space="preserve"> 1</w:t>
      </w:r>
    </w:p>
    <w:p w14:paraId="40C39F34" w14:textId="1E9AF3FE" w:rsidR="005D4030" w:rsidRDefault="00E94C9B" w:rsidP="007D13C6">
      <w:pPr>
        <w:pStyle w:val="Bullet"/>
        <w:spacing w:before="240"/>
        <w:ind w:left="714" w:hanging="357"/>
        <w:rPr>
          <w:lang w:eastAsia="en-AU"/>
        </w:rPr>
      </w:pPr>
      <w:r>
        <w:rPr>
          <w:lang w:eastAsia="en-AU"/>
        </w:rPr>
        <w:t xml:space="preserve">Juliet </w:t>
      </w:r>
      <w:r w:rsidR="005D4030" w:rsidRPr="005D4030">
        <w:rPr>
          <w:lang w:eastAsia="en-AU"/>
        </w:rPr>
        <w:t xml:space="preserve">Watson et al, </w:t>
      </w:r>
      <w:r w:rsidR="005D4030" w:rsidRPr="005D4030">
        <w:rPr>
          <w:i/>
          <w:iCs/>
          <w:lang w:eastAsia="en-AU"/>
        </w:rPr>
        <w:t>Preventing Gender-Based Violence in Mental Health Inpatient Units</w:t>
      </w:r>
      <w:r w:rsidR="005D4030" w:rsidRPr="005D4030">
        <w:rPr>
          <w:lang w:eastAsia="en-AU"/>
        </w:rPr>
        <w:t xml:space="preserve"> (Australia’s National Research Organisation for Women’s Safety, 2020)</w:t>
      </w:r>
    </w:p>
    <w:p w14:paraId="57B45542" w14:textId="41DA98B8" w:rsidR="00017C60" w:rsidRDefault="00E94C9B" w:rsidP="007D13C6">
      <w:pPr>
        <w:pStyle w:val="Bullet"/>
        <w:spacing w:before="240"/>
        <w:ind w:left="714" w:hanging="357"/>
        <w:rPr>
          <w:lang w:eastAsia="en-AU"/>
        </w:rPr>
      </w:pPr>
      <w:r w:rsidRPr="00E94C9B">
        <w:rPr>
          <w:lang w:eastAsia="en-AU"/>
        </w:rPr>
        <w:t xml:space="preserve">Chris </w:t>
      </w:r>
      <w:r>
        <w:rPr>
          <w:lang w:eastAsia="en-AU"/>
        </w:rPr>
        <w:t xml:space="preserve">Maylea </w:t>
      </w:r>
      <w:r w:rsidRPr="00E94C9B">
        <w:rPr>
          <w:lang w:eastAsia="en-AU"/>
        </w:rPr>
        <w:t xml:space="preserve">and Asher Hirsch, ‘The Right to Refuse: The Victorian Mental Health Act 2014 and the Convention on the Rights of Persons with Disabilities’ (2017) 42(2) </w:t>
      </w:r>
      <w:r w:rsidRPr="00E94C9B">
        <w:rPr>
          <w:i/>
          <w:iCs/>
          <w:lang w:eastAsia="en-AU"/>
        </w:rPr>
        <w:t>Alternative Law Journal</w:t>
      </w:r>
      <w:r w:rsidRPr="00E94C9B">
        <w:rPr>
          <w:lang w:eastAsia="en-AU"/>
        </w:rPr>
        <w:t xml:space="preserve"> 149</w:t>
      </w:r>
      <w:r w:rsidR="007A2ECD">
        <w:rPr>
          <w:lang w:eastAsia="en-AU"/>
        </w:rPr>
        <w:t>.</w:t>
      </w:r>
    </w:p>
    <w:p w14:paraId="4288F4B5" w14:textId="7E707C43" w:rsidR="00560BE6" w:rsidRPr="00560BE6" w:rsidRDefault="00560BE6" w:rsidP="007D13C6">
      <w:pPr>
        <w:pStyle w:val="Heading3-report"/>
        <w:spacing w:before="240"/>
      </w:pPr>
      <w:r>
        <w:t>Co-production and co-design resources</w:t>
      </w:r>
    </w:p>
    <w:p w14:paraId="44F62948" w14:textId="26E125FB" w:rsidR="0027716A" w:rsidRPr="006B6339" w:rsidRDefault="006B6339" w:rsidP="007D13C6">
      <w:pPr>
        <w:pStyle w:val="Bullet"/>
        <w:spacing w:before="240"/>
        <w:ind w:left="714" w:hanging="357"/>
        <w:rPr>
          <w:szCs w:val="24"/>
          <w:lang w:eastAsia="en-AU"/>
        </w:rPr>
      </w:pPr>
      <w:r w:rsidRPr="006B6339">
        <w:rPr>
          <w:szCs w:val="24"/>
        </w:rPr>
        <w:fldChar w:fldCharType="begin"/>
      </w:r>
      <w:r w:rsidR="007032CA">
        <w:rPr>
          <w:szCs w:val="24"/>
        </w:rPr>
        <w:instrText xml:space="preserve"> ADDIN ZOTERO_ITEM CSL_CITATION {"citationID":"xbWYUzNb","properties":{"formattedCitation":"Cath Roper, Flick Grey and Emma Cadogan, \\uc0\\u8216{}Co-Production: Putting Principles into Practice in Mental Health Contexts\\uc0\\u8217{} [2018] {\\i{}Melbourne: University of Melbourne}.","plainCitation":"Cath Roper, Flick Grey and Emma Cadogan, ‘Co-Production: Putting Principles into Practice in Mental Health Contexts’ [2018] Melbourne: University of Melbourne.","noteIndex":0},"citationItems":[{"id":178,"uris":["http://zotero.org/users/local/OLPofQUL/items/VBDYPLP7"],"itemData":{"id":178,"type":"article-journal","container-title":"Melbourne: University of Melbourne","title":"Co-production: Putting principles into practice in mental health contexts","author":[{"family":"Roper","given":"Cath"},{"family":"Grey","given":"Flick"},{"family":"Cadogan","given":"Emma"}],"issued":{"date-parts":[["2018"]]}}}],"schema":"https://github.com/citation-style-language/schema/raw/master/csl-citation.json"} </w:instrText>
      </w:r>
      <w:r w:rsidRPr="006B6339">
        <w:rPr>
          <w:szCs w:val="24"/>
        </w:rPr>
        <w:fldChar w:fldCharType="separate"/>
      </w:r>
      <w:r w:rsidRPr="006B6339">
        <w:rPr>
          <w:rFonts w:ascii="Calibri" w:hAnsi="Calibri" w:cs="Calibri"/>
          <w:szCs w:val="24"/>
        </w:rPr>
        <w:t xml:space="preserve">Cath Roper, Flick Grey and Emma Cadogan, ‘Co-Production: Putting Principles into Practice in Mental Health Contexts’ [2018] </w:t>
      </w:r>
      <w:r w:rsidRPr="006B6339">
        <w:rPr>
          <w:rFonts w:ascii="Calibri" w:hAnsi="Calibri" w:cs="Calibri"/>
          <w:i/>
          <w:iCs/>
          <w:szCs w:val="24"/>
        </w:rPr>
        <w:t>Melbourne: University of Melbourne</w:t>
      </w:r>
      <w:r w:rsidRPr="006B6339">
        <w:rPr>
          <w:rFonts w:ascii="Calibri" w:hAnsi="Calibri" w:cs="Calibri"/>
          <w:szCs w:val="24"/>
        </w:rPr>
        <w:t>.</w:t>
      </w:r>
      <w:r w:rsidRPr="006B6339">
        <w:rPr>
          <w:szCs w:val="24"/>
        </w:rPr>
        <w:fldChar w:fldCharType="end"/>
      </w:r>
    </w:p>
    <w:p w14:paraId="0D0242D1" w14:textId="3BE7C17A" w:rsidR="00732A8E" w:rsidRDefault="00732A8E" w:rsidP="007D13C6">
      <w:pPr>
        <w:pStyle w:val="Bullet"/>
        <w:spacing w:before="240"/>
        <w:ind w:left="714" w:hanging="357"/>
        <w:rPr>
          <w:lang w:eastAsia="en-AU"/>
        </w:rPr>
      </w:pPr>
      <w:r w:rsidRPr="00732A8E">
        <w:rPr>
          <w:lang w:eastAsia="en-AU"/>
        </w:rPr>
        <w:t>Vrinda</w:t>
      </w:r>
      <w:r w:rsidR="00E94C9B">
        <w:rPr>
          <w:lang w:eastAsia="en-AU"/>
        </w:rPr>
        <w:t xml:space="preserve"> Edan</w:t>
      </w:r>
      <w:r w:rsidRPr="00732A8E">
        <w:rPr>
          <w:lang w:eastAsia="en-AU"/>
        </w:rPr>
        <w:t xml:space="preserve"> et al, ‘Employed but Not Included: The Case of Consumer-Workers in Mental Health Care Services’ [2021] </w:t>
      </w:r>
      <w:r w:rsidRPr="00732A8E">
        <w:rPr>
          <w:i/>
          <w:iCs/>
          <w:lang w:eastAsia="en-AU"/>
        </w:rPr>
        <w:t>The International Journal of Human Resource Management</w:t>
      </w:r>
      <w:r w:rsidRPr="00732A8E">
        <w:rPr>
          <w:lang w:eastAsia="en-AU"/>
        </w:rPr>
        <w:t xml:space="preserve"> 1</w:t>
      </w:r>
    </w:p>
    <w:p w14:paraId="1F0C234D" w14:textId="3AE933E8" w:rsidR="00861892" w:rsidRDefault="00861892" w:rsidP="007D13C6">
      <w:pPr>
        <w:pStyle w:val="Bullet"/>
        <w:spacing w:before="240"/>
        <w:ind w:left="714" w:hanging="357"/>
      </w:pPr>
      <w:r>
        <w:t>Susan</w:t>
      </w:r>
      <w:r w:rsidR="00E94C9B">
        <w:t xml:space="preserve"> Ainsworth</w:t>
      </w:r>
      <w:r>
        <w:t xml:space="preserve"> et al, </w:t>
      </w:r>
      <w:r>
        <w:rPr>
          <w:i/>
          <w:iCs/>
        </w:rPr>
        <w:t>Leading the Change: Co-Producing Safe, Inclusive Workplaces for Consumer Mental Health Workers</w:t>
      </w:r>
      <w:r>
        <w:t xml:space="preserve"> (VMIAC &amp; University of Melbourne, 2020) &lt;</w:t>
      </w:r>
      <w:hyperlink r:id="rId49" w:history="1">
        <w:r>
          <w:rPr>
            <w:rStyle w:val="Hyperlink"/>
          </w:rPr>
          <w:t>https://socialequity.unimelb.edu.au/__data/assets/pdf_file/0005/3532820/Leading-the-Change-Report-2020.pdf</w:t>
        </w:r>
      </w:hyperlink>
      <w:r>
        <w:t>&gt;</w:t>
      </w:r>
    </w:p>
    <w:p w14:paraId="42065E5B" w14:textId="40AE01EB" w:rsidR="00187AD3" w:rsidRPr="00187AD3" w:rsidRDefault="00187AD3" w:rsidP="007D13C6">
      <w:pPr>
        <w:pStyle w:val="Bullet"/>
        <w:spacing w:before="240"/>
        <w:ind w:left="714" w:hanging="357"/>
        <w:rPr>
          <w:lang w:eastAsia="en-AU"/>
        </w:rPr>
      </w:pPr>
      <w:r w:rsidRPr="00187AD3">
        <w:rPr>
          <w:lang w:eastAsia="en-AU"/>
        </w:rPr>
        <w:t>Indigo</w:t>
      </w:r>
      <w:r>
        <w:rPr>
          <w:lang w:eastAsia="en-AU"/>
        </w:rPr>
        <w:t xml:space="preserve"> Daya</w:t>
      </w:r>
      <w:r w:rsidRPr="00187AD3">
        <w:rPr>
          <w:lang w:eastAsia="en-AU"/>
        </w:rPr>
        <w:t xml:space="preserve">, Bridget Hamilton and Cath Roper, ‘Authentic Engagement: A Conceptual Model for Welcoming Diverse and Challenging Consumer and Survivor Views in Mental Health Research, Policy, and Practice’ (2020) 29(2) </w:t>
      </w:r>
      <w:r w:rsidRPr="007E7672">
        <w:rPr>
          <w:i/>
          <w:iCs/>
          <w:lang w:eastAsia="en-AU"/>
        </w:rPr>
        <w:t>International journal of mental health nursing</w:t>
      </w:r>
      <w:r w:rsidRPr="00187AD3">
        <w:rPr>
          <w:lang w:eastAsia="en-AU"/>
        </w:rPr>
        <w:t xml:space="preserve"> 299</w:t>
      </w:r>
      <w:r w:rsidR="00836FFE">
        <w:rPr>
          <w:lang w:eastAsia="en-AU"/>
        </w:rPr>
        <w:t>.</w:t>
      </w:r>
    </w:p>
    <w:p w14:paraId="0F357201" w14:textId="70A7F16B" w:rsidR="00861892" w:rsidRPr="00732A8E" w:rsidRDefault="007A2ECD" w:rsidP="007D13C6">
      <w:pPr>
        <w:pStyle w:val="Bullet"/>
        <w:spacing w:before="240"/>
        <w:ind w:left="714" w:hanging="357"/>
        <w:rPr>
          <w:lang w:eastAsia="en-AU"/>
        </w:rPr>
      </w:pPr>
      <w:r w:rsidRPr="007A2ECD">
        <w:rPr>
          <w:lang w:eastAsia="en-AU"/>
        </w:rPr>
        <w:t>Kelly Ann McKercher, ‘Beyond Sticky Notes’ [2020] Doing co-design for Real: Mindsets, Methods, and Movements, 1st Edn. Sydney, NSW: Beyond Sticky Notes</w:t>
      </w:r>
      <w:r>
        <w:rPr>
          <w:lang w:eastAsia="en-AU"/>
        </w:rPr>
        <w:t>.</w:t>
      </w:r>
    </w:p>
    <w:p w14:paraId="686E4252" w14:textId="77777777" w:rsidR="00406F25" w:rsidRPr="00732A8E" w:rsidRDefault="00406F25" w:rsidP="00E225B4">
      <w:pPr>
        <w:pStyle w:val="ListParagraph"/>
        <w:numPr>
          <w:ilvl w:val="0"/>
          <w:numId w:val="11"/>
        </w:numPr>
        <w:rPr>
          <w:b/>
          <w:bCs/>
          <w:color w:val="201547"/>
          <w:sz w:val="48"/>
          <w:szCs w:val="48"/>
        </w:rPr>
      </w:pPr>
      <w:r>
        <w:br w:type="page"/>
      </w:r>
    </w:p>
    <w:p w14:paraId="624AAF0E" w14:textId="05CD1BB9" w:rsidR="00737BF6" w:rsidRDefault="00406F25" w:rsidP="00406F25">
      <w:pPr>
        <w:pStyle w:val="Heading1-report"/>
      </w:pPr>
      <w:r>
        <w:lastRenderedPageBreak/>
        <w:t>A</w:t>
      </w:r>
      <w:r w:rsidR="00C17D6C">
        <w:t>bout the a</w:t>
      </w:r>
      <w:r>
        <w:t>uthors</w:t>
      </w:r>
    </w:p>
    <w:p w14:paraId="1CF2DB4B" w14:textId="7CBDE634" w:rsidR="004B1972" w:rsidRPr="004A0ED0" w:rsidRDefault="00C1367D" w:rsidP="00C1367D">
      <w:pPr>
        <w:pStyle w:val="Heading3-report"/>
      </w:pPr>
      <w:r>
        <w:t>Simon Katterl</w:t>
      </w:r>
    </w:p>
    <w:p w14:paraId="76B55EFE" w14:textId="7079C687" w:rsidR="00C821F7" w:rsidRDefault="00622304" w:rsidP="00C1367D">
      <w:r>
        <w:t>Simon Katterl is the owner of</w:t>
      </w:r>
      <w:r w:rsidR="00E9144D">
        <w:t xml:space="preserve"> </w:t>
      </w:r>
      <w:r>
        <w:t>Simon Katterl Consulting.</w:t>
      </w:r>
      <w:r w:rsidR="00C821F7">
        <w:t xml:space="preserve"> He is a consultant to government, mental health, </w:t>
      </w:r>
      <w:r w:rsidR="00C4332F">
        <w:t xml:space="preserve">the Royal Commission into Victoria’s Mental Health System, </w:t>
      </w:r>
      <w:r w:rsidR="00C821F7">
        <w:t>and legal services on issues of mental health law,</w:t>
      </w:r>
      <w:r w:rsidR="00A30D1E">
        <w:t xml:space="preserve"> regulation,</w:t>
      </w:r>
      <w:r w:rsidR="00C821F7">
        <w:t xml:space="preserve"> human rights, co-design and consumer leadership.</w:t>
      </w:r>
    </w:p>
    <w:p w14:paraId="7054E890" w14:textId="3ABDE947" w:rsidR="00C1367D" w:rsidRDefault="00C821F7" w:rsidP="00C1367D">
      <w:r>
        <w:t xml:space="preserve">Prior to consulting, Simon </w:t>
      </w:r>
      <w:r w:rsidR="00D00FF3">
        <w:t xml:space="preserve">worked in consumer and non-consumer designated roles at Victorian Mental Illness Awareness Council, Victoria Legal Aid, Independent Mental Health Advocacy, the Mental Health Complaints Commissioner, </w:t>
      </w:r>
      <w:r w:rsidR="00CE3DF4">
        <w:t xml:space="preserve">and </w:t>
      </w:r>
      <w:r w:rsidR="00D00FF3">
        <w:t>the Victorian Equal Opportunity and Human Rights Commission.</w:t>
      </w:r>
      <w:r w:rsidR="00C4332F">
        <w:t xml:space="preserve"> </w:t>
      </w:r>
    </w:p>
    <w:p w14:paraId="1DC5037B" w14:textId="7EA241BA" w:rsidR="00C4332F" w:rsidRDefault="00C4332F" w:rsidP="00C1367D">
      <w:r>
        <w:t>Simon has lived experience of mental health issues and using both private and public (community) mental health services. He holds a Bachelor of Arts (International Relations) and a Bachelor of Laws (Hons) from Griffith University, a Graduate Diploma in Psychology from the University of Melbourne, and is completing a Masters of Regulation and Governance at the Australian National University.</w:t>
      </w:r>
    </w:p>
    <w:p w14:paraId="0E89F485" w14:textId="4B6C21D5" w:rsidR="00C1367D" w:rsidRDefault="00C1367D" w:rsidP="00C1367D">
      <w:pPr>
        <w:pStyle w:val="Heading3-report"/>
      </w:pPr>
      <w:r>
        <w:t>Kerin Leonard</w:t>
      </w:r>
    </w:p>
    <w:p w14:paraId="4E680944" w14:textId="77777777" w:rsidR="00144697" w:rsidRDefault="00C1367D" w:rsidP="00C1367D">
      <w:r>
        <w:t xml:space="preserve">Kerin Leonard is the Director of Lionheart Consulting Australia. </w:t>
      </w:r>
    </w:p>
    <w:p w14:paraId="226990B2" w14:textId="06B03CFE" w:rsidR="00144697" w:rsidRDefault="00144697" w:rsidP="00C1367D">
      <w:r>
        <w:t>Prior to becoming an independent consultant, Kerin was the senior executive responsible for community engagement at the Royal Commission into Victoria’s Mental Health System.</w:t>
      </w:r>
    </w:p>
    <w:p w14:paraId="49DE881D" w14:textId="369C0602" w:rsidR="00011D76" w:rsidRDefault="00144697" w:rsidP="00C1367D">
      <w:r>
        <w:t>During her public service career, Kerin was</w:t>
      </w:r>
      <w:r w:rsidR="009A3E09">
        <w:t xml:space="preserve"> the head of legal at the Victorian Equal Opportunity and Human Rights Commission </w:t>
      </w:r>
      <w:r w:rsidR="00EF0543">
        <w:t xml:space="preserve">for five years </w:t>
      </w:r>
      <w:r w:rsidR="009A3E09">
        <w:t xml:space="preserve">and led the </w:t>
      </w:r>
      <w:r w:rsidR="005E4155">
        <w:t>s</w:t>
      </w:r>
      <w:r w:rsidR="009A3E09">
        <w:t xml:space="preserve">ecretariat </w:t>
      </w:r>
      <w:r w:rsidR="005E4155">
        <w:t xml:space="preserve">supporting the </w:t>
      </w:r>
      <w:r w:rsidR="00EF0543">
        <w:t xml:space="preserve">statutory </w:t>
      </w:r>
      <w:r w:rsidR="005E4155">
        <w:t xml:space="preserve">eight-year </w:t>
      </w:r>
      <w:r w:rsidR="009A3E09">
        <w:t xml:space="preserve">review of the </w:t>
      </w:r>
      <w:r w:rsidR="009A3E09" w:rsidRPr="00C234E1">
        <w:t>Charter</w:t>
      </w:r>
      <w:r w:rsidR="009A3E09">
        <w:t>.</w:t>
      </w:r>
      <w:r>
        <w:t xml:space="preserve"> </w:t>
      </w:r>
      <w:r w:rsidR="00011D76">
        <w:t xml:space="preserve">Kerin was </w:t>
      </w:r>
      <w:r>
        <w:t xml:space="preserve">also </w:t>
      </w:r>
      <w:r w:rsidR="00011D76">
        <w:t>previously a Principal Legal Officer in the International Human Rights and Security Law Branch of the Australian Government Attorney-General’s Department.</w:t>
      </w:r>
    </w:p>
    <w:p w14:paraId="2D0408C9" w14:textId="147483E1" w:rsidR="00011D76" w:rsidRDefault="00011D76" w:rsidP="00C1367D">
      <w:r>
        <w:t xml:space="preserve">Kerin holds </w:t>
      </w:r>
      <w:r w:rsidR="00710465">
        <w:t xml:space="preserve">a </w:t>
      </w:r>
      <w:r>
        <w:t xml:space="preserve">Bachelor of Arts and </w:t>
      </w:r>
      <w:r w:rsidR="00710465">
        <w:t xml:space="preserve">a Bachelor of </w:t>
      </w:r>
      <w:r>
        <w:t>Law</w:t>
      </w:r>
      <w:r w:rsidR="000F52DF">
        <w:t>s</w:t>
      </w:r>
      <w:r>
        <w:t xml:space="preserve"> (Hons 1) from the Australian National University and a Master of Law </w:t>
      </w:r>
      <w:r w:rsidR="00C87795">
        <w:t xml:space="preserve">(International Law) </w:t>
      </w:r>
      <w:r>
        <w:t xml:space="preserve">from the University of Edinburgh. </w:t>
      </w:r>
    </w:p>
    <w:p w14:paraId="20B387A5" w14:textId="4E8442BF" w:rsidR="00011D76" w:rsidRPr="009A3E09" w:rsidRDefault="00011D76" w:rsidP="00C1367D">
      <w:r>
        <w:t xml:space="preserve">In 2015 Kerin was awarded the </w:t>
      </w:r>
      <w:r w:rsidR="00E21F95">
        <w:t>Paul Baker Awa</w:t>
      </w:r>
      <w:r w:rsidR="000F52DF">
        <w:t>rd</w:t>
      </w:r>
      <w:r w:rsidR="00E21F95">
        <w:t xml:space="preserve"> by the Law Institute of Victoria for significant and outstanding contribution in human rights.</w:t>
      </w:r>
    </w:p>
    <w:p w14:paraId="2C8CA29E" w14:textId="783CD8BD" w:rsidR="005D6D4B" w:rsidRDefault="005D6D4B"/>
    <w:p w14:paraId="0D9911AE" w14:textId="77777777" w:rsidR="00C5468E" w:rsidRDefault="00C5468E">
      <w:pPr>
        <w:rPr>
          <w:b/>
          <w:bCs/>
          <w:color w:val="377375"/>
          <w:sz w:val="48"/>
          <w:szCs w:val="48"/>
        </w:rPr>
      </w:pPr>
      <w:bookmarkStart w:id="1" w:name="_Toc80956512"/>
      <w:r>
        <w:br w:type="page"/>
      </w:r>
    </w:p>
    <w:bookmarkEnd w:id="1"/>
    <w:p w14:paraId="54943BC9" w14:textId="1A8C2DB1" w:rsidR="007C6193" w:rsidRDefault="007C6193">
      <w:pPr>
        <w:rPr>
          <w:i/>
          <w:iCs/>
        </w:rPr>
        <w:sectPr w:rsidR="007C6193" w:rsidSect="00271E88">
          <w:pgSz w:w="11906" w:h="16838"/>
          <w:pgMar w:top="1440" w:right="1418" w:bottom="1440" w:left="1418" w:header="708" w:footer="708" w:gutter="0"/>
          <w:cols w:space="708"/>
          <w:titlePg/>
          <w:docGrid w:linePitch="360"/>
        </w:sectPr>
      </w:pPr>
    </w:p>
    <w:p w14:paraId="22322C1B" w14:textId="1ECDF376" w:rsidR="004B1972" w:rsidRDefault="002929D7">
      <w:r w:rsidRPr="004B1972">
        <w:rPr>
          <w:noProof/>
          <w:color w:val="FFFFFF" w:themeColor="background1"/>
          <w:sz w:val="20"/>
          <w:szCs w:val="20"/>
        </w:rPr>
        <w:lastRenderedPageBreak/>
        <mc:AlternateContent>
          <mc:Choice Requires="wps">
            <w:drawing>
              <wp:anchor distT="0" distB="0" distL="114300" distR="114300" simplePos="0" relativeHeight="251658245" behindDoc="1" locked="0" layoutInCell="1" allowOverlap="1" wp14:anchorId="32B3129E" wp14:editId="5DCB3D9B">
                <wp:simplePos x="0" y="0"/>
                <wp:positionH relativeFrom="page">
                  <wp:align>left</wp:align>
                </wp:positionH>
                <wp:positionV relativeFrom="paragraph">
                  <wp:posOffset>-914400</wp:posOffset>
                </wp:positionV>
                <wp:extent cx="7689273" cy="10715625"/>
                <wp:effectExtent l="0" t="0" r="26035" b="28575"/>
                <wp:wrapNone/>
                <wp:docPr id="4" name="Rectangle 4"/>
                <wp:cNvGraphicFramePr/>
                <a:graphic xmlns:a="http://schemas.openxmlformats.org/drawingml/2006/main">
                  <a:graphicData uri="http://schemas.microsoft.com/office/word/2010/wordprocessingShape">
                    <wps:wsp>
                      <wps:cNvSpPr/>
                      <wps:spPr>
                        <a:xfrm>
                          <a:off x="0" y="0"/>
                          <a:ext cx="7689273" cy="10715625"/>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20C4A5" id="Rectangle 4" o:spid="_x0000_s1026" style="position:absolute;margin-left:0;margin-top:-1in;width:605.45pt;height:843.7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" fillcolor="#201547" strokecolor="#1b383a [1604]" strokeweight="1pt">
                <w10:wrap anchorx="page"/>
              </v:rect>
            </w:pict>
          </mc:Fallback>
        </mc:AlternateContent>
      </w:r>
    </w:p>
    <w:p w14:paraId="249E4EBC" w14:textId="50EEF830" w:rsidR="004B1972" w:rsidRDefault="004B1972"/>
    <w:p w14:paraId="6173BFBF" w14:textId="7CF7F9E4" w:rsidR="004B1972" w:rsidRDefault="004B1972"/>
    <w:p w14:paraId="1E7E3B04" w14:textId="5772502B" w:rsidR="004B1972" w:rsidRDefault="004B1972"/>
    <w:p w14:paraId="101529D8" w14:textId="007C78A5" w:rsidR="004B1972" w:rsidRDefault="004B1972"/>
    <w:p w14:paraId="0179F948" w14:textId="3EFC0AC0" w:rsidR="004B1972" w:rsidRDefault="004B1972"/>
    <w:p w14:paraId="6A315567" w14:textId="44744FF7" w:rsidR="004B1972" w:rsidRDefault="004B1972"/>
    <w:p w14:paraId="6444975F" w14:textId="3C795C81" w:rsidR="004B1972" w:rsidRDefault="004B1972"/>
    <w:p w14:paraId="02FD5F22" w14:textId="2F9D86CB" w:rsidR="004B1972" w:rsidRDefault="004B1972"/>
    <w:p w14:paraId="5CB2B9E1" w14:textId="43A27C76" w:rsidR="004B1972" w:rsidRDefault="004B1972"/>
    <w:p w14:paraId="299DE95B" w14:textId="0082DE28" w:rsidR="004B1972" w:rsidRDefault="004B1972"/>
    <w:p w14:paraId="7B51250F" w14:textId="28DAAAED" w:rsidR="004B1972" w:rsidRDefault="004B1972"/>
    <w:p w14:paraId="09306712" w14:textId="1F833611" w:rsidR="004B1972" w:rsidRDefault="004B1972" w:rsidP="001D78A4">
      <w:pPr>
        <w:jc w:val="center"/>
      </w:pPr>
    </w:p>
    <w:sectPr w:rsidR="004B1972" w:rsidSect="00271E88">
      <w:headerReference w:type="first" r:id="rId50"/>
      <w:footerReference w:type="first" r:id="rId51"/>
      <w:pgSz w:w="11906" w:h="16838"/>
      <w:pgMar w:top="1440" w:right="1418" w:bottom="144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D9B6" w14:textId="77777777" w:rsidR="00B32C61" w:rsidRDefault="00B32C61" w:rsidP="004B1972">
      <w:pPr>
        <w:spacing w:after="0" w:line="240" w:lineRule="auto"/>
      </w:pPr>
      <w:r>
        <w:separator/>
      </w:r>
    </w:p>
  </w:endnote>
  <w:endnote w:type="continuationSeparator" w:id="0">
    <w:p w14:paraId="2ADBBA88" w14:textId="77777777" w:rsidR="00B32C61" w:rsidRDefault="00B32C61" w:rsidP="004B1972">
      <w:pPr>
        <w:spacing w:after="0" w:line="240" w:lineRule="auto"/>
      </w:pPr>
      <w:r>
        <w:continuationSeparator/>
      </w:r>
    </w:p>
  </w:endnote>
  <w:endnote w:type="continuationNotice" w:id="1">
    <w:p w14:paraId="07C7D253" w14:textId="77777777" w:rsidR="00B32C61" w:rsidRDefault="00B32C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4C10" w14:textId="55F0A399" w:rsidR="004B1972" w:rsidRPr="004B1972" w:rsidRDefault="006244AC" w:rsidP="004B1972">
    <w:pPr>
      <w:pStyle w:val="Footer"/>
      <w:rPr>
        <w:color w:val="FFFFFF" w:themeColor="background1"/>
      </w:rPr>
    </w:pPr>
    <w:sdt>
      <w:sdtPr>
        <w:rPr>
          <w:color w:val="FFFFFF" w:themeColor="background1"/>
        </w:rPr>
        <w:id w:val="-1059556535"/>
        <w:docPartObj>
          <w:docPartGallery w:val="Page Numbers (Bottom of Page)"/>
          <w:docPartUnique/>
        </w:docPartObj>
      </w:sdtPr>
      <w:sdtEndPr>
        <w:rPr>
          <w:noProof/>
        </w:rPr>
      </w:sdtEndPr>
      <w:sdtContent>
        <w:r w:rsidR="004B1972">
          <w:rPr>
            <w:color w:val="FFFFFF" w:themeColor="background1"/>
          </w:rPr>
          <w:br/>
        </w:r>
      </w:sdtContent>
    </w:sdt>
  </w:p>
  <w:p w14:paraId="1B072D2F" w14:textId="79F8F70F" w:rsidR="004B1972" w:rsidRDefault="000463F8">
    <w:pPr>
      <w:pStyle w:val="Footer"/>
    </w:pPr>
    <w:r w:rsidRPr="000552C6">
      <w:rPr>
        <w:noProof/>
        <w:color w:val="201547"/>
      </w:rPr>
      <mc:AlternateContent>
        <mc:Choice Requires="wps">
          <w:drawing>
            <wp:anchor distT="0" distB="0" distL="114300" distR="114300" simplePos="0" relativeHeight="251658244" behindDoc="1" locked="0" layoutInCell="1" allowOverlap="1" wp14:anchorId="09EE7963" wp14:editId="3A5517B0">
              <wp:simplePos x="0" y="0"/>
              <wp:positionH relativeFrom="page">
                <wp:posOffset>-44755</wp:posOffset>
              </wp:positionH>
              <wp:positionV relativeFrom="paragraph">
                <wp:posOffset>1905</wp:posOffset>
              </wp:positionV>
              <wp:extent cx="7600207" cy="925739"/>
              <wp:effectExtent l="0" t="0" r="20320" b="27305"/>
              <wp:wrapNone/>
              <wp:docPr id="6" name="Rectangle 6"/>
              <wp:cNvGraphicFramePr/>
              <a:graphic xmlns:a="http://schemas.openxmlformats.org/drawingml/2006/main">
                <a:graphicData uri="http://schemas.microsoft.com/office/word/2010/wordprocessingShape">
                  <wps:wsp>
                    <wps:cNvSpPr/>
                    <wps:spPr>
                      <a:xfrm>
                        <a:off x="0" y="0"/>
                        <a:ext cx="7600207" cy="925739"/>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F76ABB" id="Rectangle 6" o:spid="_x0000_s1026" style="position:absolute;margin-left:-3.5pt;margin-top:.15pt;width:598.45pt;height:72.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" fillcolor="#201547" strokecolor="#1b383a [1604]"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028E" w14:textId="62547259" w:rsidR="00401CB8" w:rsidRDefault="00C52B08">
    <w:pPr>
      <w:pStyle w:val="Footer"/>
      <w:jc w:val="right"/>
    </w:pPr>
    <w:r w:rsidRPr="000552C6">
      <w:rPr>
        <w:noProof/>
        <w:color w:val="201547"/>
      </w:rPr>
      <mc:AlternateContent>
        <mc:Choice Requires="wps">
          <w:drawing>
            <wp:anchor distT="0" distB="0" distL="114300" distR="114300" simplePos="0" relativeHeight="251658247" behindDoc="1" locked="0" layoutInCell="1" allowOverlap="1" wp14:anchorId="02B69917" wp14:editId="29819035">
              <wp:simplePos x="0" y="0"/>
              <wp:positionH relativeFrom="page">
                <wp:posOffset>-59690</wp:posOffset>
              </wp:positionH>
              <wp:positionV relativeFrom="paragraph">
                <wp:posOffset>206569</wp:posOffset>
              </wp:positionV>
              <wp:extent cx="7600207" cy="925739"/>
              <wp:effectExtent l="0" t="0" r="20320" b="27305"/>
              <wp:wrapNone/>
              <wp:docPr id="256" name="Rectangle 256"/>
              <wp:cNvGraphicFramePr/>
              <a:graphic xmlns:a="http://schemas.openxmlformats.org/drawingml/2006/main">
                <a:graphicData uri="http://schemas.microsoft.com/office/word/2010/wordprocessingShape">
                  <wps:wsp>
                    <wps:cNvSpPr/>
                    <wps:spPr>
                      <a:xfrm>
                        <a:off x="0" y="0"/>
                        <a:ext cx="7600207" cy="925739"/>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D98070" id="Rectangle 256" o:spid="_x0000_s1026" style="position:absolute;margin-left:-4.7pt;margin-top:16.25pt;width:598.45pt;height:72.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" fillcolor="#201547" strokecolor="#1b383a [1604]" strokeweight="1pt">
              <w10:wrap anchorx="page"/>
            </v:rect>
          </w:pict>
        </mc:Fallback>
      </mc:AlternateContent>
    </w:r>
  </w:p>
  <w:p w14:paraId="059066D2" w14:textId="4E35002C" w:rsidR="00286452" w:rsidRDefault="00286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782F" w14:textId="77777777" w:rsidR="00CE09F7" w:rsidRDefault="00CE09F7">
    <w:pPr>
      <w:pStyle w:val="Footer"/>
    </w:pPr>
    <w:r w:rsidRPr="004B1972">
      <w:rPr>
        <w:noProof/>
        <w:color w:val="FFFFFF" w:themeColor="background1"/>
        <w:sz w:val="20"/>
        <w:szCs w:val="20"/>
      </w:rPr>
      <mc:AlternateContent>
        <mc:Choice Requires="wps">
          <w:drawing>
            <wp:anchor distT="0" distB="0" distL="114300" distR="114300" simplePos="0" relativeHeight="251658243" behindDoc="1" locked="0" layoutInCell="1" allowOverlap="1" wp14:anchorId="41805C8B" wp14:editId="746B268C">
              <wp:simplePos x="0" y="0"/>
              <wp:positionH relativeFrom="page">
                <wp:posOffset>9525</wp:posOffset>
              </wp:positionH>
              <wp:positionV relativeFrom="paragraph">
                <wp:posOffset>57150</wp:posOffset>
              </wp:positionV>
              <wp:extent cx="7534275" cy="552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753427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9113862" id="Rectangle 10" o:spid="_x0000_s1026" style="position:absolute;margin-left:.75pt;margin-top:4.5pt;width:593.25pt;height:43.5pt;z-index:-2516582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" fillcolor="#377375 [3204]" strokecolor="#1b383a [1604]" strokeweight="1pt">
              <w10:wrap anchorx="page"/>
            </v:rect>
          </w:pict>
        </mc:Fallback>
      </mc:AlternateContent>
    </w:r>
    <w:r w:rsidRPr="00CE09F7">
      <w:rPr>
        <w:noProof/>
      </w:rPr>
      <mc:AlternateContent>
        <mc:Choice Requires="wps">
          <w:drawing>
            <wp:anchor distT="45720" distB="45720" distL="114300" distR="114300" simplePos="0" relativeHeight="251658242" behindDoc="0" locked="0" layoutInCell="1" allowOverlap="1" wp14:anchorId="4DB2B1D5" wp14:editId="5B5D24A6">
              <wp:simplePos x="0" y="0"/>
              <wp:positionH relativeFrom="rightMargin">
                <wp:posOffset>-38100</wp:posOffset>
              </wp:positionH>
              <wp:positionV relativeFrom="paragraph">
                <wp:posOffset>158115</wp:posOffset>
              </wp:positionV>
              <wp:extent cx="600075" cy="2857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w="9525">
                        <a:noFill/>
                        <a:miter lim="800000"/>
                        <a:headEnd/>
                        <a:tailEnd/>
                      </a:ln>
                    </wps:spPr>
                    <wps:txbx>
                      <w:txbxContent>
                        <w:p w14:paraId="02D9E0D1" w14:textId="77777777" w:rsidR="00CE09F7" w:rsidRPr="004B1972" w:rsidRDefault="00CE09F7" w:rsidP="00CE09F7">
                          <w:pPr>
                            <w:jc w:val="right"/>
                            <w:rPr>
                              <w:b/>
                              <w:bCs/>
                              <w:color w:val="FFFFFF" w:themeColor="background1"/>
                            </w:rPr>
                          </w:pPr>
                          <w:r w:rsidRPr="004B1972">
                            <w:rPr>
                              <w:b/>
                              <w:bCs/>
                              <w:color w:val="FFFFFF" w:themeColor="background1"/>
                            </w:rPr>
                            <w:fldChar w:fldCharType="begin"/>
                          </w:r>
                          <w:r w:rsidRPr="004B1972">
                            <w:rPr>
                              <w:b/>
                              <w:bCs/>
                              <w:color w:val="FFFFFF" w:themeColor="background1"/>
                            </w:rPr>
                            <w:instrText xml:space="preserve"> PAGE   \* MERGEFORMAT </w:instrText>
                          </w:r>
                          <w:r w:rsidRPr="004B1972">
                            <w:rPr>
                              <w:b/>
                              <w:bCs/>
                              <w:color w:val="FFFFFF" w:themeColor="background1"/>
                            </w:rPr>
                            <w:fldChar w:fldCharType="separate"/>
                          </w:r>
                          <w:r w:rsidRPr="004B1972">
                            <w:rPr>
                              <w:b/>
                              <w:bCs/>
                              <w:noProof/>
                              <w:color w:val="FFFFFF" w:themeColor="background1"/>
                            </w:rPr>
                            <w:t>1</w:t>
                          </w:r>
                          <w:r w:rsidRPr="004B1972">
                            <w:rPr>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2B1D5" id="_x0000_t202" coordsize="21600,21600" o:spt="202" path="m,l,21600r21600,l21600,xe">
              <v:stroke joinstyle="miter"/>
              <v:path gradientshapeok="t" o:connecttype="rect"/>
            </v:shapetype>
            <v:shape id="Text Box 11" o:spid="_x0000_s1039" type="#_x0000_t202" style="position:absolute;margin-left:-3pt;margin-top:12.45pt;width:47.25pt;height:22.5pt;z-index:25165824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" filled="f" stroked="f">
              <v:textbox>
                <w:txbxContent>
                  <w:p w14:paraId="02D9E0D1" w14:textId="77777777" w:rsidR="00CE09F7" w:rsidRPr="004B1972" w:rsidRDefault="00CE09F7" w:rsidP="00CE09F7">
                    <w:pPr>
                      <w:jc w:val="right"/>
                      <w:rPr>
                        <w:b/>
                        <w:bCs/>
                        <w:color w:val="FFFFFF" w:themeColor="background1"/>
                      </w:rPr>
                    </w:pPr>
                    <w:r w:rsidRPr="004B1972">
                      <w:rPr>
                        <w:b/>
                        <w:bCs/>
                        <w:color w:val="FFFFFF" w:themeColor="background1"/>
                      </w:rPr>
                      <w:fldChar w:fldCharType="begin"/>
                    </w:r>
                    <w:r w:rsidRPr="004B1972">
                      <w:rPr>
                        <w:b/>
                        <w:bCs/>
                        <w:color w:val="FFFFFF" w:themeColor="background1"/>
                      </w:rPr>
                      <w:instrText xml:space="preserve"> PAGE   \* MERGEFORMAT </w:instrText>
                    </w:r>
                    <w:r w:rsidRPr="004B1972">
                      <w:rPr>
                        <w:b/>
                        <w:bCs/>
                        <w:color w:val="FFFFFF" w:themeColor="background1"/>
                      </w:rPr>
                      <w:fldChar w:fldCharType="separate"/>
                    </w:r>
                    <w:r w:rsidRPr="004B1972">
                      <w:rPr>
                        <w:b/>
                        <w:bCs/>
                        <w:noProof/>
                        <w:color w:val="FFFFFF" w:themeColor="background1"/>
                      </w:rPr>
                      <w:t>1</w:t>
                    </w:r>
                    <w:r w:rsidRPr="004B1972">
                      <w:rPr>
                        <w:b/>
                        <w:bCs/>
                        <w:noProof/>
                        <w:color w:val="FFFFFF" w:themeColor="background1"/>
                      </w:rPr>
                      <w:fldChar w:fldCharType="end"/>
                    </w:r>
                  </w:p>
                </w:txbxContent>
              </v:textbox>
              <w10:wrap type="square" anchorx="margin"/>
            </v:shape>
          </w:pict>
        </mc:Fallback>
      </mc:AlternateContent>
    </w:r>
    <w:r w:rsidRPr="00CE09F7">
      <w:rPr>
        <w:noProof/>
      </w:rPr>
      <mc:AlternateContent>
        <mc:Choice Requires="wps">
          <w:drawing>
            <wp:anchor distT="45720" distB="45720" distL="114300" distR="114300" simplePos="0" relativeHeight="251658241" behindDoc="0" locked="0" layoutInCell="1" allowOverlap="1" wp14:anchorId="1F53E034" wp14:editId="6FCCF3F1">
              <wp:simplePos x="0" y="0"/>
              <wp:positionH relativeFrom="column">
                <wp:posOffset>-571500</wp:posOffset>
              </wp:positionH>
              <wp:positionV relativeFrom="paragraph">
                <wp:posOffset>177165</wp:posOffset>
              </wp:positionV>
              <wp:extent cx="1857375" cy="2667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6700"/>
                      </a:xfrm>
                      <a:prstGeom prst="rect">
                        <a:avLst/>
                      </a:prstGeom>
                      <a:noFill/>
                      <a:ln w="9525">
                        <a:noFill/>
                        <a:miter lim="800000"/>
                        <a:headEnd/>
                        <a:tailEnd/>
                      </a:ln>
                    </wps:spPr>
                    <wps:txbx>
                      <w:txbxContent>
                        <w:p w14:paraId="3979FB68" w14:textId="77777777" w:rsidR="00CE09F7" w:rsidRPr="004B1972" w:rsidRDefault="00CE09F7" w:rsidP="00CE09F7">
                          <w:pPr>
                            <w:rPr>
                              <w:b/>
                              <w:bCs/>
                              <w:color w:val="FFFFFF" w:themeColor="background1"/>
                            </w:rPr>
                          </w:pPr>
                          <w:r w:rsidRPr="004B1972">
                            <w:rPr>
                              <w:b/>
                              <w:bCs/>
                              <w:color w:val="FFFFFF" w:themeColor="background1"/>
                            </w:rPr>
                            <w:t>Report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E034" id="Text Box 12" o:spid="_x0000_s1040" type="#_x0000_t202" style="position:absolute;margin-left:-45pt;margin-top:13.95pt;width:146.2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" filled="f" stroked="f">
              <v:textbox>
                <w:txbxContent>
                  <w:p w14:paraId="3979FB68" w14:textId="77777777" w:rsidR="00CE09F7" w:rsidRPr="004B1972" w:rsidRDefault="00CE09F7" w:rsidP="00CE09F7">
                    <w:pPr>
                      <w:rPr>
                        <w:b/>
                        <w:bCs/>
                        <w:color w:val="FFFFFF" w:themeColor="background1"/>
                      </w:rPr>
                    </w:pPr>
                    <w:r w:rsidRPr="004B1972">
                      <w:rPr>
                        <w:b/>
                        <w:bCs/>
                        <w:color w:val="FFFFFF" w:themeColor="background1"/>
                      </w:rPr>
                      <w:t>Report title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1DC5" w14:textId="77777777" w:rsidR="00B32C61" w:rsidRDefault="00B32C61" w:rsidP="004B1972">
      <w:pPr>
        <w:spacing w:after="0" w:line="240" w:lineRule="auto"/>
      </w:pPr>
      <w:r>
        <w:separator/>
      </w:r>
    </w:p>
  </w:footnote>
  <w:footnote w:type="continuationSeparator" w:id="0">
    <w:p w14:paraId="61B4CD7C" w14:textId="77777777" w:rsidR="00B32C61" w:rsidRDefault="00B32C61" w:rsidP="004B1972">
      <w:pPr>
        <w:spacing w:after="0" w:line="240" w:lineRule="auto"/>
      </w:pPr>
      <w:r>
        <w:continuationSeparator/>
      </w:r>
    </w:p>
  </w:footnote>
  <w:footnote w:type="continuationNotice" w:id="1">
    <w:p w14:paraId="460D97B2" w14:textId="77777777" w:rsidR="00B32C61" w:rsidRDefault="00B32C61">
      <w:pPr>
        <w:spacing w:after="0" w:line="240" w:lineRule="auto"/>
      </w:pPr>
    </w:p>
  </w:footnote>
  <w:footnote w:id="2">
    <w:p w14:paraId="24C1BEC7" w14:textId="37C96745" w:rsidR="00C77A61" w:rsidRPr="00030932" w:rsidRDefault="00C77A61" w:rsidP="00C77A61">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1131D7" w:rsidRPr="00030932">
        <w:rPr>
          <w:rFonts w:cstheme="minorHAnsi"/>
          <w:sz w:val="16"/>
          <w:szCs w:val="16"/>
        </w:rPr>
        <w:instrText xml:space="preserve"> ADDIN ZOTERO_ITEM CSL_CITATION {"citationID":"mSTr08vI","properties":{"formattedCitation":"State of Victoria, {\\i{}Royal Commission into Victoria\\uc0\\u8217{}s Mental Health System, Final Report, Summary and Recommendations} (No Parliamentary Paper no. 202, Session 2018-2021 (document 1 of 6), 2021) 4 &lt;https://finalreport.rcvmhs.vic.gov.au/&gt;.","plainCitation":"State of Victoria, Royal Commission into Victoria’s Mental Health System, Final Report, Summary and Recommendations (No Parliamentary Paper no. 202, Session 2018-2021 (document 1 of 6), 2021) 4 &lt;https://finalreport.rcvmhs.vic.gov.au/&gt;.","noteIndex":1},"citationItems":[{"id":1,"uris":["http://zotero.org/users/local/OLPofQUL/items/YYI3WW97"],"itemData":{"id":1,"type":"report","number":"Parliamentary Paper no. 202, Session 2018-2021 (document 1 of 6)","title":"Royal Commission into Victoria's Mental Health System, Final Report, Summary and recommendations","URL":"https://finalreport.rcvmhs.vic.gov.au/","author":[{"family":"State of Victoria","given":""}],"accessed":{"date-parts":[["2021",3,10]]},"issued":{"date-parts":[["2021"]]}},"locator":"4","label":"page"}],"schema":"https://github.com/citation-style-language/schema/raw/master/csl-citation.json"} </w:instrText>
      </w:r>
      <w:r w:rsidRPr="00030932">
        <w:rPr>
          <w:rFonts w:cstheme="minorHAnsi"/>
          <w:sz w:val="16"/>
          <w:szCs w:val="16"/>
        </w:rPr>
        <w:fldChar w:fldCharType="separate"/>
      </w:r>
      <w:r w:rsidRPr="00030932">
        <w:rPr>
          <w:rFonts w:ascii="Calibri" w:hAnsi="Calibri" w:cs="Calibri"/>
          <w:sz w:val="16"/>
          <w:szCs w:val="16"/>
        </w:rPr>
        <w:t xml:space="preserve">State of Victoria, </w:t>
      </w:r>
      <w:r w:rsidRPr="00030932">
        <w:rPr>
          <w:rFonts w:ascii="Calibri" w:hAnsi="Calibri" w:cs="Calibri"/>
          <w:i/>
          <w:iCs/>
          <w:sz w:val="16"/>
          <w:szCs w:val="16"/>
        </w:rPr>
        <w:t>Royal Commission into Victoria’s Mental Health System, Final Report, Summary and Recommendations</w:t>
      </w:r>
      <w:r w:rsidRPr="00030932">
        <w:rPr>
          <w:rFonts w:ascii="Calibri" w:hAnsi="Calibri" w:cs="Calibri"/>
          <w:sz w:val="16"/>
          <w:szCs w:val="16"/>
        </w:rPr>
        <w:t xml:space="preserve"> (No Parliamentary Paper no. 202, Session 2018-2021 (document 1 of 6), 2021) 4 &lt;https://finalreport.rcvmhs.vic.gov.au/&gt;.</w:t>
      </w:r>
      <w:r w:rsidRPr="00030932">
        <w:rPr>
          <w:rFonts w:cstheme="minorHAnsi"/>
          <w:sz w:val="16"/>
          <w:szCs w:val="16"/>
        </w:rPr>
        <w:fldChar w:fldCharType="end"/>
      </w:r>
    </w:p>
  </w:footnote>
  <w:footnote w:id="3">
    <w:p w14:paraId="5A611264" w14:textId="1AF69818" w:rsidR="00B21CAC" w:rsidRPr="00030932" w:rsidRDefault="00B21CAC">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1131D7" w:rsidRPr="00030932">
        <w:rPr>
          <w:rFonts w:cstheme="minorHAnsi"/>
          <w:sz w:val="16"/>
          <w:szCs w:val="16"/>
        </w:rPr>
        <w:instrText xml:space="preserve"> ADDIN ZOTERO_ITEM CSL_CITATION {"citationID":"2RoRuoMu","properties":{"formattedCitation":"For historical accounts, see: Bonnie Burstow, {\\i{}Psychiatry and the Business of Madness: An Ethical and Epistemological Accounting} (Springer, 2015); Andrew Scull, {\\i{}Desperate Remedies: Psychiatry\\uc0\\u8217{}s Turbulent Quest to Cure Mental Illness} (Harvard University Press, 2022); Jill Giese, {\\i{}The Maddest Place on Earth} (Australian Scholarly Publishing, 2018); For more recent accounts of deinstutitionalisation processes, see: Piers Gooding, \\uc0\\u8216{}From Deinstitutionalisation to Consumer Empowerment: Mental Health Policy, Neoliberal Restructuring and the Closure of the \\uc0\\u8220{}Big Bins\\uc0\\u8221{} in Victoria\\uc0\\u8217{} (2016) 25(1) {\\i{}Health Sociology Review} 33; Piers Gooding, \\uc0\\u8216{}\\uc0\\u8220{}The Government Is the Cause of the Disease and We Are Stuck with the Symptoms\\uc0\\u8221{}: Deinstitutionalisation, Mental Health Advocacy and Police Shootings in 1990s Victoria\\uc0\\u8217{} (2017) 31(3) {\\i{}Continuum} 436.","plainCitation":"For historical accounts, see: Bonnie Burstow, Psychiatry and the Business of Madness: An Ethical and Epistemological Accounting (Springer, 2015); Andrew Scull, Desperate Remedies: Psychiatry’s Turbulent Quest to Cure Mental Illness (Harvard University Press, 2022); Jill Giese, The Maddest Place on Earth (Australian Scholarly Publishing, 2018); For more recent accounts of deinstutitionalisation processes, see: Piers Gooding, ‘From Deinstitutionalisation to Consumer Empowerment: Mental Health Policy, Neoliberal Restructuring and the Closure of the “Big Bins” in Victoria’ (2016) 25(1) Health Sociology Review 33; Piers Gooding, ‘“The Government Is the Cause of the Disease and We Are Stuck with the Symptoms”: Deinstitutionalisation, Mental Health Advocacy and Police Shootings in 1990s Victoria’ (2017) 31(3) Continuum 436.","dontUpdate":true,"noteIndex":2},"citationItems":[{"id":189,"uris":["http://zotero.org/users/local/OLPofQUL/items/Z5LV75MG"],"itemData":{"id":189,"type":"book","ISBN":"1-137-50385-8","publisher":"Springer","title":"Psychiatry and the business of madness: An ethical and epistemological accounting","author":[{"family":"Burstow","given":"Bonnie"}],"issued":{"date-parts":[["2015"]]}},"label":"page","prefix":"For historical accounts, see:"},{"id":1914,"uris":["http://zotero.org/users/local/OLPofQUL/items/QWH4XCMR"],"itemData":{"id":1914,"type":"book","ISBN":"0-674-27646-9","publisher":"Harvard University Press","title":"Desperate Remedies: Psychiatry’s Turbulent Quest to Cure Mental Illness","author":[{"family":"Scull","given":"Andrew"}],"issued":{"date-parts":[["2022"]]}}},{"id":22,"uris":["http://zotero.org/users/local/OLPofQUL/items/28ZPM67I"],"itemData":{"id":22,"type":"book","ISBN":"1-925588-95-5","publisher":"Australian Scholarly Publishing","title":"The Maddest Place on Earth","author":[{"family":"Giese","given":"Jill"}],"issued":{"date-parts":[["2018"]]}}},{"id":23,"uris":["http://zotero.org/users/local/OLPofQUL/items/2URT73JD"],"itemData":{"id":23,"type":"article-journal","container-title":"Health Sociology Review","ISSN":"1446-1242","issue":"1","page":"33-47","title":"From deinstitutionalisation to consumer empowerment: Mental health policy, neoliberal restructuring and the closure of the ‘Big bins’ in Victoria","volume":"25","author":[{"family":"Gooding","given":"Piers"}],"issued":{"date-parts":[["2016"]]}},"label":"page","prefix":"For more recent accounts of deinstutitionalisation processes, see:"},{"id":24,"uris":["http://zotero.org/users/local/OLPofQUL/items/RMW5CTUX"],"itemData":{"id":24,"type":"article-journal","container-title":"Continuum","ISSN":"1030-4312","issue":"3","page":"436-446","title":"‘The government is the cause of the disease and we are stuck with the symptoms’: deinstitutionalisation, mental health advocacy and police shootings in 1990s Victoria","volume":"31","author":[{"family":"Gooding","given":"Piers"}],"issued":{"date-parts":[["2017"]]}}}],"schema":"https://github.com/citation-style-language/schema/raw/master/csl-citation.json"}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For historical accounts, see: Bonnie Burstow, </w:t>
      </w:r>
      <w:r w:rsidRPr="00030932">
        <w:rPr>
          <w:rFonts w:cstheme="minorHAnsi"/>
          <w:i/>
          <w:iCs/>
          <w:sz w:val="16"/>
          <w:szCs w:val="16"/>
        </w:rPr>
        <w:t>Psychiatry and the Business of Madness: An Ethical and Epistemological Accounting</w:t>
      </w:r>
      <w:r w:rsidRPr="00030932">
        <w:rPr>
          <w:rFonts w:cstheme="minorHAnsi"/>
          <w:sz w:val="16"/>
          <w:szCs w:val="16"/>
        </w:rPr>
        <w:t xml:space="preserve"> (Springer, 2015); Andrew Scull, </w:t>
      </w:r>
      <w:r w:rsidRPr="00030932">
        <w:rPr>
          <w:rFonts w:cstheme="minorHAnsi"/>
          <w:i/>
          <w:iCs/>
          <w:sz w:val="16"/>
          <w:szCs w:val="16"/>
        </w:rPr>
        <w:t>Desperate Remedies: Psychiatry’s Turbulent Quest to Cure Mental Illness</w:t>
      </w:r>
      <w:r w:rsidRPr="00030932">
        <w:rPr>
          <w:rFonts w:cstheme="minorHAnsi"/>
          <w:sz w:val="16"/>
          <w:szCs w:val="16"/>
        </w:rPr>
        <w:t xml:space="preserve"> (Harvard University Press, 2022); Jill Giese, </w:t>
      </w:r>
      <w:r w:rsidRPr="00030932">
        <w:rPr>
          <w:rFonts w:cstheme="minorHAnsi"/>
          <w:i/>
          <w:iCs/>
          <w:sz w:val="16"/>
          <w:szCs w:val="16"/>
        </w:rPr>
        <w:t>The Maddest Place on Earth</w:t>
      </w:r>
      <w:r w:rsidRPr="00030932">
        <w:rPr>
          <w:rFonts w:cstheme="minorHAnsi"/>
          <w:sz w:val="16"/>
          <w:szCs w:val="16"/>
        </w:rPr>
        <w:t xml:space="preserve"> (Australian Scholarly Publishing, 2018); For more recent accounts of </w:t>
      </w:r>
      <w:r w:rsidR="000E0681" w:rsidRPr="00030932">
        <w:rPr>
          <w:rFonts w:cstheme="minorHAnsi"/>
          <w:sz w:val="16"/>
          <w:szCs w:val="16"/>
        </w:rPr>
        <w:t>deinstitutionalisation</w:t>
      </w:r>
      <w:r w:rsidRPr="00030932">
        <w:rPr>
          <w:rFonts w:cstheme="minorHAnsi"/>
          <w:sz w:val="16"/>
          <w:szCs w:val="16"/>
        </w:rPr>
        <w:t xml:space="preserve"> processes, see: Piers Gooding, ‘From Deinstitutionalisation to Consumer Empowerment: Mental Health Policy, Neoliberal Restructuring and the Closure of the “Big Bins” in Victoria’ (2016) 25(1) </w:t>
      </w:r>
      <w:r w:rsidRPr="00030932">
        <w:rPr>
          <w:rFonts w:cstheme="minorHAnsi"/>
          <w:i/>
          <w:iCs/>
          <w:sz w:val="16"/>
          <w:szCs w:val="16"/>
        </w:rPr>
        <w:t>Health Sociology Review</w:t>
      </w:r>
      <w:r w:rsidRPr="00030932">
        <w:rPr>
          <w:rFonts w:cstheme="minorHAnsi"/>
          <w:sz w:val="16"/>
          <w:szCs w:val="16"/>
        </w:rPr>
        <w:t xml:space="preserve"> 33; Piers Gooding, ‘“The Government Is the Cause of the Disease and We Are Stuck with the Symptoms”: Deinstitutionalisation, Mental Health Advocacy and Police Shootings in 1990s Victoria’ (2017) 31(3) </w:t>
      </w:r>
      <w:r w:rsidRPr="00030932">
        <w:rPr>
          <w:rFonts w:cstheme="minorHAnsi"/>
          <w:i/>
          <w:iCs/>
          <w:sz w:val="16"/>
          <w:szCs w:val="16"/>
        </w:rPr>
        <w:t>Continuum</w:t>
      </w:r>
      <w:r w:rsidRPr="00030932">
        <w:rPr>
          <w:rFonts w:cstheme="minorHAnsi"/>
          <w:sz w:val="16"/>
          <w:szCs w:val="16"/>
        </w:rPr>
        <w:t xml:space="preserve"> 436.</w:t>
      </w:r>
      <w:r w:rsidRPr="00030932">
        <w:rPr>
          <w:rFonts w:cstheme="minorHAnsi"/>
          <w:sz w:val="16"/>
          <w:szCs w:val="16"/>
        </w:rPr>
        <w:fldChar w:fldCharType="end"/>
      </w:r>
    </w:p>
  </w:footnote>
  <w:footnote w:id="4">
    <w:p w14:paraId="344D2CB1" w14:textId="7A2EC38A" w:rsidR="005661B1" w:rsidRPr="00030932" w:rsidRDefault="005661B1">
      <w:pPr>
        <w:pStyle w:val="FootnoteText"/>
        <w:rPr>
          <w:rFonts w:cstheme="minorHAnsi"/>
          <w:sz w:val="16"/>
          <w:szCs w:val="16"/>
          <w:lang w:val="en-US"/>
        </w:rPr>
      </w:pPr>
      <w:r w:rsidRPr="00EB2274">
        <w:rPr>
          <w:rStyle w:val="FootnoteReference"/>
        </w:rPr>
        <w:footnoteRef/>
      </w:r>
      <w:r w:rsidRPr="00030932">
        <w:rPr>
          <w:rFonts w:cstheme="minorHAnsi"/>
          <w:sz w:val="16"/>
          <w:szCs w:val="16"/>
        </w:rPr>
        <w:t xml:space="preserve"> </w:t>
      </w:r>
      <w:r w:rsidR="00A5513B" w:rsidRPr="00030932">
        <w:rPr>
          <w:rFonts w:cstheme="minorHAnsi"/>
          <w:i/>
          <w:iCs/>
          <w:sz w:val="16"/>
          <w:szCs w:val="16"/>
        </w:rPr>
        <w:t xml:space="preserve">Convention on the Rights of Persons with Disabilities, </w:t>
      </w:r>
      <w:r w:rsidR="00A5513B" w:rsidRPr="00030932">
        <w:rPr>
          <w:rFonts w:cstheme="minorHAnsi"/>
          <w:sz w:val="16"/>
          <w:szCs w:val="16"/>
        </w:rPr>
        <w:t xml:space="preserve">opened for signature 13 December 2006, 2515 UNTS 3 (entered into force 3 May 2008); </w:t>
      </w:r>
      <w:r w:rsidRPr="00030932">
        <w:rPr>
          <w:rFonts w:cstheme="minorHAnsi"/>
          <w:sz w:val="16"/>
          <w:szCs w:val="16"/>
        </w:rPr>
        <w:fldChar w:fldCharType="begin"/>
      </w:r>
      <w:r w:rsidR="007032CA">
        <w:rPr>
          <w:rFonts w:cstheme="minorHAnsi"/>
          <w:sz w:val="16"/>
          <w:szCs w:val="16"/>
        </w:rPr>
        <w:instrText xml:space="preserve"> ADDIN ZOTERO_ITEM CSL_CITATION {"citationID":"Q1RVz96i","properties":{"formattedCitation":"State of Victoria, {\\i{}Royal Commission into Victoria\\uc0\\u8217{}s Mental Health System, Volume 4: The Fundamentals for Enduring Reform} (No Parliamentary Paper no. 202, Session 2018-2021 (document 5 of 6), State of Victoria, 2021) 34 &lt;https://finalreport.rcvmhs.vic.gov.au/download-report/&gt;.","plainCitation":"State of Victoria, Royal Commission into Victoria’s Mental Health System, Volume 4: The Fundamentals for Enduring Reform (No Parliamentary Paper no. 202, Session 2018-2021 (document 5 of 6), State of Victoria, 2021) 34 &lt;https://finalreport.rcvmhs.vic.gov.au/download-report/&gt;.","noteIndex":3},"citationItems":[{"id":242,"uris":["http://zotero.org/users/local/OLPofQUL/items/UYQDXE84"],"itemData":{"id":242,"type":"report","number":"Parliamentary Paper no. 202, Session 2018-2021 (document 5 of 6)","publisher":"State of Victoria","title":"Royal Commission into Victoria's Mental Health System, Volume 4: The fundamentals for enduring reform","URL":"https://finalreport.rcvmhs.vic.gov.au/download-report/","author":[{"family":"State of Victoria","given":""}],"issued":{"date-parts":[["2021"]]}},"locator":"34","label":"page"}],"schema":"https://github.com/citation-style-language/schema/raw/master/csl-citation.json"} </w:instrText>
      </w:r>
      <w:r w:rsidRPr="00030932">
        <w:rPr>
          <w:rFonts w:cstheme="minorHAnsi"/>
          <w:sz w:val="16"/>
          <w:szCs w:val="16"/>
        </w:rPr>
        <w:fldChar w:fldCharType="separate"/>
      </w:r>
      <w:r w:rsidR="0085211F" w:rsidRPr="00030932">
        <w:rPr>
          <w:rFonts w:ascii="Calibri" w:hAnsi="Calibri" w:cs="Calibri"/>
          <w:sz w:val="16"/>
          <w:szCs w:val="16"/>
        </w:rPr>
        <w:t xml:space="preserve">State of Victoria, </w:t>
      </w:r>
      <w:r w:rsidR="0085211F" w:rsidRPr="00030932">
        <w:rPr>
          <w:rFonts w:ascii="Calibri" w:hAnsi="Calibri" w:cs="Calibri"/>
          <w:i/>
          <w:iCs/>
          <w:sz w:val="16"/>
          <w:szCs w:val="16"/>
        </w:rPr>
        <w:t>Royal Commission into Victoria’s Mental Health System, Volume 4: The Fundamentals for Enduring Reform</w:t>
      </w:r>
      <w:r w:rsidR="0085211F" w:rsidRPr="00030932">
        <w:rPr>
          <w:rFonts w:ascii="Calibri" w:hAnsi="Calibri" w:cs="Calibri"/>
          <w:sz w:val="16"/>
          <w:szCs w:val="16"/>
        </w:rPr>
        <w:t xml:space="preserve"> (No Parliamentary Paper no. 202, Session 2018-2021 (document 5 of 6), State of Victoria, 2021) 34 &lt;https://finalreport.rcvmhs.vic.gov.au/download-report/&gt;.</w:t>
      </w:r>
      <w:r w:rsidRPr="00030932">
        <w:rPr>
          <w:rFonts w:cstheme="minorHAnsi"/>
          <w:sz w:val="16"/>
          <w:szCs w:val="16"/>
        </w:rPr>
        <w:fldChar w:fldCharType="end"/>
      </w:r>
    </w:p>
  </w:footnote>
  <w:footnote w:id="5">
    <w:p w14:paraId="79543E7D" w14:textId="56222289" w:rsidR="00193E5C" w:rsidRPr="00030932" w:rsidRDefault="00193E5C">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85211F" w:rsidRPr="00030932">
        <w:rPr>
          <w:rFonts w:cstheme="minorHAnsi"/>
          <w:sz w:val="16"/>
          <w:szCs w:val="16"/>
        </w:rPr>
        <w:instrText xml:space="preserve"> ADDIN ZOTERO_ITEM CSL_CITATION {"citationID":"jb055jZz","properties":{"formattedCitation":"Neil Rees, \\uc0\\u8216{}Learning from the Past, Looking to the Future: Is Victorian Mental Health Law Ripe for Reform?\\uc0\\u8217{} (2009) 16(1) {\\i{}Psychiatry, Psychology and Law} 69, 71.","plainCitation":"Neil Rees, ‘Learning from the Past, Looking to the Future: Is Victorian Mental Health Law Ripe for Reform?’ (2009) 16(1) Psychiatry, Psychology and Law 69, 71.","noteIndex":4},"citationItems":[{"id":115,"uris":["http://zotero.org/users/local/OLPofQUL/items/UMBRXMH5"],"itemData":{"id":115,"type":"article-journal","container-title":"Psychiatry, Psychology and Law","issue":"1","note":"ISBN: 1321-8719\npublisher: Taylor &amp; Francis","page":"69-89","title":"Learning from the past, looking to the future: is Victorian mental health law ripe for reform?","volume":"16","author":[{"family":"Rees","given":"Neil"}],"issued":{"date-parts":[["2009"]]}},"locator":"71","label":"page"}],"schema":"https://github.com/citation-style-language/schema/raw/master/csl-citation.json"}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Neil Rees, ‘Learning from the Past, Looking to the Future: Is Victorian Mental Health Law Ripe for Reform?’ (2009) 16(1) </w:t>
      </w:r>
      <w:r w:rsidRPr="00030932">
        <w:rPr>
          <w:rFonts w:cstheme="minorHAnsi"/>
          <w:i/>
          <w:iCs/>
          <w:sz w:val="16"/>
          <w:szCs w:val="16"/>
        </w:rPr>
        <w:t>Psychiatry, Psychology and Law</w:t>
      </w:r>
      <w:r w:rsidRPr="00030932">
        <w:rPr>
          <w:rFonts w:cstheme="minorHAnsi"/>
          <w:sz w:val="16"/>
          <w:szCs w:val="16"/>
        </w:rPr>
        <w:t xml:space="preserve"> 69, 71.</w:t>
      </w:r>
      <w:r w:rsidRPr="00030932">
        <w:rPr>
          <w:rFonts w:cstheme="minorHAnsi"/>
          <w:sz w:val="16"/>
          <w:szCs w:val="16"/>
        </w:rPr>
        <w:fldChar w:fldCharType="end"/>
      </w:r>
    </w:p>
  </w:footnote>
  <w:footnote w:id="6">
    <w:p w14:paraId="35169572" w14:textId="6FEBC1C9"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C172E8" w:rsidRPr="00030932">
        <w:rPr>
          <w:rFonts w:cstheme="minorHAnsi"/>
          <w:sz w:val="16"/>
          <w:szCs w:val="16"/>
        </w:rPr>
        <w:fldChar w:fldCharType="begin"/>
      </w:r>
      <w:r w:rsidR="007032CA">
        <w:rPr>
          <w:rFonts w:cstheme="minorHAnsi"/>
          <w:sz w:val="16"/>
          <w:szCs w:val="16"/>
        </w:rPr>
        <w:instrText xml:space="preserve"> ADDIN ZOTERO_ITEM CSL_CITATION {"citationID":"wSbXa5tA","properties":{"formattedCitation":"State of Victoria, \\uc0\\u8216{}Royal Commission into Victoria\\uc0\\u8217{}s Mental Health System, Final Report, Summary and Recommendations\\uc0\\u8217{} (n 1) 4.","plainCitation":"State of Victoria, ‘Royal Commission into Victoria’s Mental Health System, Final Report, Summary and Recommendations’ (n 1) 4.","noteIndex":5},"citationItems":[{"id":1,"uris":["http://zotero.org/users/local/OLPofQUL/items/YYI3WW97"],"itemData":{"id":1,"type":"report","number":"Parliamentary Paper no. 202, Session 2018-2021 (document 1 of 6)","title":"Royal Commission into Victoria's Mental Health System, Final Report, Summary and recommendations","URL":"https://finalreport.rcvmhs.vic.gov.au/","author":[{"family":"State of Victoria","given":""}],"accessed":{"date-parts":[["2021",3,10]]},"issued":{"date-parts":[["2021"]]}},"locator":"4","label":"page"}],"schema":"https://github.com/citation-style-language/schema/raw/master/csl-citation.json"} </w:instrText>
      </w:r>
      <w:r w:rsidR="00C172E8" w:rsidRPr="00030932">
        <w:rPr>
          <w:rFonts w:cstheme="minorHAnsi"/>
          <w:sz w:val="16"/>
          <w:szCs w:val="16"/>
        </w:rPr>
        <w:fldChar w:fldCharType="separate"/>
      </w:r>
      <w:r w:rsidR="001131D7" w:rsidRPr="00030932">
        <w:rPr>
          <w:rFonts w:ascii="Calibri" w:hAnsi="Calibri" w:cs="Calibri"/>
          <w:sz w:val="16"/>
          <w:szCs w:val="16"/>
        </w:rPr>
        <w:t>State of Victoria, ‘Royal Commission into Victoria’s Mental Health System, Final Report, Summary and Recommendations’ (n 1) 4.</w:t>
      </w:r>
      <w:r w:rsidR="00C172E8" w:rsidRPr="00030932">
        <w:rPr>
          <w:rFonts w:cstheme="minorHAnsi"/>
          <w:sz w:val="16"/>
          <w:szCs w:val="16"/>
        </w:rPr>
        <w:fldChar w:fldCharType="end"/>
      </w:r>
    </w:p>
  </w:footnote>
  <w:footnote w:id="7">
    <w:p w14:paraId="7D489084" w14:textId="03E5F335" w:rsidR="00572776" w:rsidRPr="00030932" w:rsidRDefault="00572776">
      <w:pPr>
        <w:pStyle w:val="FootnoteText"/>
        <w:rPr>
          <w:rFonts w:cstheme="minorHAnsi"/>
          <w:sz w:val="16"/>
          <w:szCs w:val="16"/>
          <w:lang w:val="en-US"/>
        </w:rPr>
      </w:pPr>
      <w:r w:rsidRPr="00EB2274">
        <w:rPr>
          <w:rStyle w:val="FootnoteReference"/>
        </w:rPr>
        <w:footnoteRef/>
      </w:r>
      <w:r w:rsidRPr="00030932">
        <w:rPr>
          <w:rFonts w:cstheme="minorHAnsi"/>
          <w:sz w:val="16"/>
          <w:szCs w:val="16"/>
        </w:rPr>
        <w:t xml:space="preserve"> </w:t>
      </w:r>
      <w:r w:rsidR="00DB465B" w:rsidRPr="00030932">
        <w:rPr>
          <w:rFonts w:cstheme="minorHAnsi"/>
          <w:sz w:val="16"/>
          <w:szCs w:val="16"/>
        </w:rPr>
        <w:fldChar w:fldCharType="begin"/>
      </w:r>
      <w:r w:rsidR="007032CA">
        <w:rPr>
          <w:rFonts w:cstheme="minorHAnsi"/>
          <w:sz w:val="16"/>
          <w:szCs w:val="16"/>
        </w:rPr>
        <w:instrText xml:space="preserve"> ADDIN ZOTERO_ITEM CSL_CITATION {"citationID":"Uxlbqxz6","properties":{"formattedCitation":"For a compelling account of this argument and the importance of power and mobilisation to the realisation of human rights, see: Jack Snyder, {\\i{}Human Rights for Pragmatists} (Princeton University Press, 2022).","plainCitation":"For a compelling account of this argument and the importance of power and mobilisation to the realisation of human rights, see: Jack Snyder, Human Rights for Pragmatists (Princeton University Press, 2022).","noteIndex":6},"citationItems":[{"id":2025,"uris":["http://zotero.org/users/local/OLPofQUL/items/CLQIU93I"],"itemData":{"id":2025,"type":"book","ISBN":"0-691-23153-2","publisher":"Princeton University Press","title":"Human Rights for Pragmatists","author":[{"family":"Snyder","given":"Jack"}],"issued":{"date-parts":[["2022"]]}},"label":"page","prefix":"For a compelling account of this argument and the importance of power and mobilisation to the realisation of human rights, see:"}],"schema":"https://github.com/citation-style-language/schema/raw/master/csl-citation.json"} </w:instrText>
      </w:r>
      <w:r w:rsidR="00DB465B" w:rsidRPr="00030932">
        <w:rPr>
          <w:rFonts w:cstheme="minorHAnsi"/>
          <w:sz w:val="16"/>
          <w:szCs w:val="16"/>
        </w:rPr>
        <w:fldChar w:fldCharType="separate"/>
      </w:r>
      <w:r w:rsidR="00563D59" w:rsidRPr="00030932">
        <w:rPr>
          <w:rFonts w:cstheme="minorHAnsi"/>
          <w:sz w:val="16"/>
          <w:szCs w:val="16"/>
        </w:rPr>
        <w:t xml:space="preserve">For a compelling account of this argument and the importance of power and mobilisation to the realisation of human rights, see: Jack Snyder, </w:t>
      </w:r>
      <w:r w:rsidR="00563D59" w:rsidRPr="00030932">
        <w:rPr>
          <w:rFonts w:cstheme="minorHAnsi"/>
          <w:i/>
          <w:iCs/>
          <w:sz w:val="16"/>
          <w:szCs w:val="16"/>
        </w:rPr>
        <w:t>Human Rights for Pragmatists</w:t>
      </w:r>
      <w:r w:rsidR="00563D59" w:rsidRPr="00030932">
        <w:rPr>
          <w:rFonts w:cstheme="minorHAnsi"/>
          <w:sz w:val="16"/>
          <w:szCs w:val="16"/>
        </w:rPr>
        <w:t xml:space="preserve"> (Princeton University Press, 2022).</w:t>
      </w:r>
      <w:r w:rsidR="00DB465B" w:rsidRPr="00030932">
        <w:rPr>
          <w:rFonts w:cstheme="minorHAnsi"/>
          <w:sz w:val="16"/>
          <w:szCs w:val="16"/>
        </w:rPr>
        <w:fldChar w:fldCharType="end"/>
      </w:r>
    </w:p>
  </w:footnote>
  <w:footnote w:id="8">
    <w:p w14:paraId="71D58F4F" w14:textId="008F034A" w:rsidR="00453243" w:rsidRPr="00030932" w:rsidRDefault="00453243">
      <w:pPr>
        <w:pStyle w:val="FootnoteText"/>
        <w:rPr>
          <w:sz w:val="16"/>
          <w:szCs w:val="16"/>
        </w:rPr>
      </w:pPr>
      <w:r w:rsidRPr="00EB2274">
        <w:rPr>
          <w:rStyle w:val="FootnoteReference"/>
        </w:rPr>
        <w:footnoteRef/>
      </w:r>
      <w:r w:rsidRPr="00030932">
        <w:rPr>
          <w:sz w:val="16"/>
          <w:szCs w:val="16"/>
        </w:rPr>
        <w:t xml:space="preserve"> </w:t>
      </w:r>
      <w:r w:rsidRPr="00030932">
        <w:rPr>
          <w:sz w:val="16"/>
          <w:szCs w:val="16"/>
        </w:rPr>
        <w:fldChar w:fldCharType="begin"/>
      </w:r>
      <w:r w:rsidR="007032CA">
        <w:rPr>
          <w:sz w:val="16"/>
          <w:szCs w:val="16"/>
        </w:rPr>
        <w:instrText xml:space="preserve"> ADDIN ZOTERO_ITEM CSL_CITATION {"citationID":"C7VxbGYx","properties":{"formattedCitation":"Victoria Legal Aid, {\\i{}Your Story, Your Say: Consumers\\uc0\\u8217{} Priority Issues and Solutions for the Royal Commission into Victoria\\uc0\\u8217{}s Mental Health System} (Victoria Legal Aid, 2020) 15 &lt;https://www.legalaid.vic.gov.au/sites/www.legalaid.vic.gov.au/files/vla-your-story-your-say-report.pdf&gt;.","plainCitation":"Victoria Legal Aid, Your Story, Your Say: Consumers’ Priority Issues and Solutions for the Royal Commission into Victoria’s Mental Health System (Victoria Legal Aid, 2020) 15 &lt;https://www.legalaid.vic.gov.au/sites/www.legalaid.vic.gov.au/files/vla-your-story-your-say-report.pdf&gt;.","noteIndex":7},"citationItems":[{"id":56,"uris":["http://zotero.org/users/local/OLPofQUL/items/NAESJ9R5"],"itemData":{"id":56,"type":"report","event-place":"Victoria Legal Aid","publisher":"Victoria Legal Aid","publisher-place":"Victoria Legal Aid","title":"Your story, your say: Consumers' priority issues and solutions for the Royal Commission into Victoria's Mental Health System","URL":"https://www.legalaid.vic.gov.au/sites/www.legalaid.vic.gov.au/files/vla-your-story-your-say-report.pdf","author":[{"literal":"Victoria Legal Aid"}],"issued":{"date-parts":[["2020"]]}},"locator":"15","label":"page"}],"schema":"https://github.com/citation-style-language/schema/raw/master/csl-citation.json"} </w:instrText>
      </w:r>
      <w:r w:rsidRPr="00030932">
        <w:rPr>
          <w:sz w:val="16"/>
          <w:szCs w:val="16"/>
        </w:rPr>
        <w:fldChar w:fldCharType="separate"/>
      </w:r>
      <w:r w:rsidRPr="00030932">
        <w:rPr>
          <w:rFonts w:ascii="Calibri" w:hAnsi="Calibri" w:cs="Calibri"/>
          <w:sz w:val="16"/>
          <w:szCs w:val="16"/>
        </w:rPr>
        <w:t xml:space="preserve">Victoria Legal Aid, </w:t>
      </w:r>
      <w:r w:rsidRPr="00030932">
        <w:rPr>
          <w:rFonts w:ascii="Calibri" w:hAnsi="Calibri" w:cs="Calibri"/>
          <w:i/>
          <w:iCs/>
          <w:sz w:val="16"/>
          <w:szCs w:val="16"/>
        </w:rPr>
        <w:t>Your Story, Your Say: Consumers’ Priority Issues and Solutions for the Royal Commission into Victoria’s Mental Health System</w:t>
      </w:r>
      <w:r w:rsidRPr="00030932">
        <w:rPr>
          <w:rFonts w:ascii="Calibri" w:hAnsi="Calibri" w:cs="Calibri"/>
          <w:sz w:val="16"/>
          <w:szCs w:val="16"/>
        </w:rPr>
        <w:t xml:space="preserve"> (Victoria Legal Aid, 2020) 15 &lt;https://www.legalaid.vic.gov.au/sites/www.legalaid.vic.gov.au/files/vla-your-story-your-say-report.pdf&gt;.</w:t>
      </w:r>
      <w:r w:rsidRPr="00030932">
        <w:rPr>
          <w:sz w:val="16"/>
          <w:szCs w:val="16"/>
        </w:rPr>
        <w:fldChar w:fldCharType="end"/>
      </w:r>
    </w:p>
  </w:footnote>
  <w:footnote w:id="9">
    <w:p w14:paraId="6CA519DA" w14:textId="6D97ED01"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874B23" w:rsidRPr="00030932">
        <w:rPr>
          <w:rFonts w:cstheme="minorHAnsi"/>
          <w:sz w:val="16"/>
          <w:szCs w:val="16"/>
        </w:rPr>
        <w:fldChar w:fldCharType="begin"/>
      </w:r>
      <w:r w:rsidR="007032CA">
        <w:rPr>
          <w:rFonts w:cstheme="minorHAnsi"/>
          <w:sz w:val="16"/>
          <w:szCs w:val="16"/>
        </w:rPr>
        <w:instrText xml:space="preserve"> ADDIN ZOTERO_ITEM CSL_CITATION {"citationID":"BpXr1nQL","properties":{"formattedCitation":"State of Victoria, \\uc0\\u8216{}Royal Commission into Victoria\\uc0\\u8217{}s Mental Health System, Final Report, Summary and Recommendations\\uc0\\u8217{} (n 1) 28.","plainCitation":"State of Victoria, ‘Royal Commission into Victoria’s Mental Health System, Final Report, Summary and Recommendations’ (n 1) 28.","noteIndex":8},"citationItems":[{"id":1,"uris":["http://zotero.org/users/local/OLPofQUL/items/YYI3WW97"],"itemData":{"id":1,"type":"report","number":"Parliamentary Paper no. 202, Session 2018-2021 (document 1 of 6)","title":"Royal Commission into Victoria's Mental Health System, Final Report, Summary and recommendations","URL":"https://finalreport.rcvmhs.vic.gov.au/","author":[{"family":"State of Victoria","given":""}],"accessed":{"date-parts":[["2021",3,10]]},"issued":{"date-parts":[["2021"]]}},"locator":"28","label":"page"}],"schema":"https://github.com/citation-style-language/schema/raw/master/csl-citation.json"} </w:instrText>
      </w:r>
      <w:r w:rsidR="00874B23" w:rsidRPr="00030932">
        <w:rPr>
          <w:rFonts w:cstheme="minorHAnsi"/>
          <w:sz w:val="16"/>
          <w:szCs w:val="16"/>
        </w:rPr>
        <w:fldChar w:fldCharType="separate"/>
      </w:r>
      <w:r w:rsidR="001131D7" w:rsidRPr="00030932">
        <w:rPr>
          <w:rFonts w:ascii="Calibri" w:hAnsi="Calibri" w:cs="Calibri"/>
          <w:sz w:val="16"/>
          <w:szCs w:val="16"/>
        </w:rPr>
        <w:t>State of Victoria, ‘Royal Commission into Victoria’s Mental Health System, Final Report, Summary and Recommendations’ (n 1) 28.</w:t>
      </w:r>
      <w:r w:rsidR="00874B23" w:rsidRPr="00030932">
        <w:rPr>
          <w:rFonts w:cstheme="minorHAnsi"/>
          <w:sz w:val="16"/>
          <w:szCs w:val="16"/>
        </w:rPr>
        <w:fldChar w:fldCharType="end"/>
      </w:r>
    </w:p>
  </w:footnote>
  <w:footnote w:id="10">
    <w:p w14:paraId="14DDAC52" w14:textId="42C905B9"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874B23" w:rsidRPr="00030932">
        <w:rPr>
          <w:rFonts w:cstheme="minorHAnsi"/>
          <w:sz w:val="16"/>
          <w:szCs w:val="16"/>
        </w:rPr>
        <w:fldChar w:fldCharType="begin"/>
      </w:r>
      <w:r w:rsidR="007032CA">
        <w:rPr>
          <w:rFonts w:cstheme="minorHAnsi"/>
          <w:sz w:val="16"/>
          <w:szCs w:val="16"/>
        </w:rPr>
        <w:instrText xml:space="preserve"> ADDIN ZOTERO_ITEM CSL_CITATION {"citationID":"BMNO07Ao","properties":{"formattedCitation":"Ibid 30.","plainCitation":"Ibid 30.","noteIndex":9},"citationItems":[{"id":1,"uris":["http://zotero.org/users/local/OLPofQUL/items/YYI3WW97"],"itemData":{"id":1,"type":"report","number":"Parliamentary Paper no. 202, Session 2018-2021 (document 1 of 6)","title":"Royal Commission into Victoria's Mental Health System, Final Report, Summary and recommendations","URL":"https://finalreport.rcvmhs.vic.gov.au/","author":[{"family":"State of Victoria","given":""}],"accessed":{"date-parts":[["2021",3,10]]},"issued":{"date-parts":[["2021"]]}},"locator":"30","label":"page"}],"schema":"https://github.com/citation-style-language/schema/raw/master/csl-citation.json"} </w:instrText>
      </w:r>
      <w:r w:rsidR="00874B23" w:rsidRPr="00030932">
        <w:rPr>
          <w:rFonts w:cstheme="minorHAnsi"/>
          <w:sz w:val="16"/>
          <w:szCs w:val="16"/>
        </w:rPr>
        <w:fldChar w:fldCharType="separate"/>
      </w:r>
      <w:r w:rsidR="00874B23" w:rsidRPr="00030932">
        <w:rPr>
          <w:rFonts w:cstheme="minorHAnsi"/>
          <w:sz w:val="16"/>
          <w:szCs w:val="16"/>
        </w:rPr>
        <w:t>Ibid 30.</w:t>
      </w:r>
      <w:r w:rsidR="00874B23" w:rsidRPr="00030932">
        <w:rPr>
          <w:rFonts w:cstheme="minorHAnsi"/>
          <w:sz w:val="16"/>
          <w:szCs w:val="16"/>
        </w:rPr>
        <w:fldChar w:fldCharType="end"/>
      </w:r>
    </w:p>
  </w:footnote>
  <w:footnote w:id="11">
    <w:p w14:paraId="17287D77" w14:textId="77777777"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i/>
          <w:iCs/>
          <w:sz w:val="16"/>
          <w:szCs w:val="16"/>
        </w:rPr>
        <w:t xml:space="preserve">Mental Health and Wellbeing Act 2022 </w:t>
      </w:r>
      <w:r w:rsidRPr="00030932">
        <w:rPr>
          <w:rFonts w:cstheme="minorHAnsi"/>
          <w:sz w:val="16"/>
          <w:szCs w:val="16"/>
        </w:rPr>
        <w:t>(Vic) s 12(e).</w:t>
      </w:r>
    </w:p>
  </w:footnote>
  <w:footnote w:id="12">
    <w:p w14:paraId="0761F023" w14:textId="77777777"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i/>
          <w:iCs/>
          <w:sz w:val="16"/>
          <w:szCs w:val="16"/>
        </w:rPr>
        <w:t>Mental Health and Wellbeing Act 2022</w:t>
      </w:r>
      <w:r w:rsidRPr="00030932">
        <w:rPr>
          <w:rFonts w:cstheme="minorHAnsi"/>
          <w:sz w:val="16"/>
          <w:szCs w:val="16"/>
        </w:rPr>
        <w:t xml:space="preserve"> (Vic) s 80.</w:t>
      </w:r>
    </w:p>
  </w:footnote>
  <w:footnote w:id="13">
    <w:p w14:paraId="44724549" w14:textId="77777777" w:rsidR="00105922" w:rsidRPr="00030932" w:rsidRDefault="00105922" w:rsidP="00105922">
      <w:pPr>
        <w:pStyle w:val="FootnoteText"/>
        <w:rPr>
          <w:rFonts w:cstheme="minorHAnsi"/>
          <w:sz w:val="16"/>
          <w:szCs w:val="16"/>
        </w:rPr>
      </w:pPr>
      <w:r w:rsidRPr="00EB2274">
        <w:rPr>
          <w:rStyle w:val="FootnoteReference"/>
        </w:rPr>
        <w:footnoteRef/>
      </w:r>
      <w:r w:rsidRPr="00030932">
        <w:rPr>
          <w:rFonts w:cstheme="minorHAnsi"/>
          <w:sz w:val="16"/>
          <w:szCs w:val="16"/>
        </w:rPr>
        <w:t xml:space="preserve"> Kate Eastman AM SC, Transcript, </w:t>
      </w:r>
      <w:r w:rsidRPr="00030932">
        <w:rPr>
          <w:rFonts w:cstheme="minorHAnsi"/>
          <w:i/>
          <w:iCs/>
          <w:sz w:val="16"/>
          <w:szCs w:val="16"/>
        </w:rPr>
        <w:t>Public hearing 18: The human rights of people with disability and making the Convention on the Rights of Persons with Disabilities a reality in Australian law, policies and practices</w:t>
      </w:r>
      <w:r w:rsidRPr="00030932">
        <w:rPr>
          <w:rFonts w:cstheme="minorHAnsi"/>
          <w:sz w:val="16"/>
          <w:szCs w:val="16"/>
        </w:rPr>
        <w:t>, 8 November 2021, P-10 [40–46].</w:t>
      </w:r>
    </w:p>
  </w:footnote>
  <w:footnote w:id="14">
    <w:p w14:paraId="2F272E68" w14:textId="668FB87E"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7032CA">
        <w:rPr>
          <w:rFonts w:cstheme="minorHAnsi"/>
          <w:sz w:val="16"/>
          <w:szCs w:val="16"/>
        </w:rPr>
        <w:instrText xml:space="preserve"> ADDIN ZOTERO_ITEM CSL_CITATION {"citationID":"XEOEpBOY","properties":{"formattedCitation":"{\\i{}Parliamentary debates, Legislative Assembly, 4 May} (Victoria, 2006) 1293.","plainCitation":"Parliamentary debates, Legislative Assembly, 4 May (Victoria, 2006) 1293.","noteIndex":13},"citationItems":[{"id":54,"uris":["http://zotero.org/users/local/OLPofQUL/items/24NVUPFW"],"itemData":{"id":54,"type":"legal_case","note":"1290","page":"1293","title":"Parliamentary debates, Legislative Assembly, 4 May","author":[{"literal":"Victoria"}],"issued":{"date-parts":[["2006"]]}}}],"schema":"https://github.com/citation-style-language/schema/raw/master/csl-citation.json"} </w:instrText>
      </w:r>
      <w:r w:rsidRPr="00030932">
        <w:rPr>
          <w:rFonts w:cstheme="minorHAnsi"/>
          <w:sz w:val="16"/>
          <w:szCs w:val="16"/>
        </w:rPr>
        <w:fldChar w:fldCharType="separate"/>
      </w:r>
      <w:r w:rsidRPr="00030932">
        <w:rPr>
          <w:rFonts w:cstheme="minorHAnsi"/>
          <w:i/>
          <w:iCs/>
          <w:sz w:val="16"/>
          <w:szCs w:val="16"/>
        </w:rPr>
        <w:t>Parliamentary debates, Legislative Assembly, 4 May</w:t>
      </w:r>
      <w:r w:rsidRPr="00030932">
        <w:rPr>
          <w:rFonts w:cstheme="minorHAnsi"/>
          <w:sz w:val="16"/>
          <w:szCs w:val="16"/>
        </w:rPr>
        <w:t xml:space="preserve"> (Victoria, 2006) 1293.</w:t>
      </w:r>
      <w:r w:rsidRPr="00030932">
        <w:rPr>
          <w:rFonts w:cstheme="minorHAnsi"/>
          <w:sz w:val="16"/>
          <w:szCs w:val="16"/>
        </w:rPr>
        <w:fldChar w:fldCharType="end"/>
      </w:r>
    </w:p>
  </w:footnote>
  <w:footnote w:id="15">
    <w:p w14:paraId="0D2C05A1" w14:textId="77777777" w:rsidR="00092F77" w:rsidRPr="00030932" w:rsidRDefault="00092F77" w:rsidP="00092F77">
      <w:pPr>
        <w:pStyle w:val="FootnoteText"/>
        <w:rPr>
          <w:rFonts w:cstheme="minorHAnsi"/>
          <w:sz w:val="16"/>
          <w:szCs w:val="16"/>
          <w:lang w:val="en-US"/>
        </w:rPr>
      </w:pPr>
      <w:r w:rsidRPr="00EB2274">
        <w:rPr>
          <w:rStyle w:val="FootnoteReference"/>
        </w:rPr>
        <w:footnoteRef/>
      </w:r>
      <w:r w:rsidRPr="00030932">
        <w:rPr>
          <w:rFonts w:cstheme="minorHAnsi"/>
          <w:sz w:val="16"/>
          <w:szCs w:val="16"/>
        </w:rPr>
        <w:t xml:space="preserve"> </w:t>
      </w:r>
      <w:r w:rsidRPr="00030932">
        <w:rPr>
          <w:rFonts w:cstheme="minorHAnsi"/>
          <w:i/>
          <w:iCs/>
          <w:sz w:val="16"/>
          <w:szCs w:val="16"/>
        </w:rPr>
        <w:t xml:space="preserve">Public Administration Act 2004 </w:t>
      </w:r>
      <w:r w:rsidRPr="00030932">
        <w:rPr>
          <w:rFonts w:cstheme="minorHAnsi"/>
          <w:sz w:val="16"/>
          <w:szCs w:val="16"/>
        </w:rPr>
        <w:t>(Vic) s 7(1)(g).</w:t>
      </w:r>
    </w:p>
  </w:footnote>
  <w:footnote w:id="16">
    <w:p w14:paraId="6CE0ADA7" w14:textId="7EE545D6" w:rsidR="00092F77" w:rsidRPr="00030932" w:rsidRDefault="00092F77" w:rsidP="00092F77">
      <w:pPr>
        <w:pStyle w:val="FootnoteText"/>
        <w:rPr>
          <w:rFonts w:cstheme="minorHAnsi"/>
          <w:sz w:val="16"/>
          <w:szCs w:val="16"/>
          <w:lang w:val="en-US"/>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7032CA">
        <w:rPr>
          <w:rFonts w:cstheme="minorHAnsi"/>
          <w:sz w:val="16"/>
          <w:szCs w:val="16"/>
        </w:rPr>
        <w:instrText xml:space="preserve"> ADDIN ZOTERO_ITEM CSL_CITATION {"citationID":"NlgBGeiY","properties":{"formattedCitation":"Victorian Public Sector Commission, {\\i{}Code of Conduct for Victorian Public Sector Employees} (Victorian Public Sector Commission, 2015) 26\\uc0\\u8211{}27 &lt;https://vpsc.vic.gov.au/wp-content/uploads/2015/03/VPSC_Code_VPSE_WEB.pdf&gt;.","plainCitation":"Victorian Public Sector Commission, Code of Conduct for Victorian Public Sector Employees (Victorian Public Sector Commission, 2015) 26–27 &lt;https://vpsc.vic.gov.au/wp-content/uploads/2015/03/VPSC_Code_VPSE_WEB.pdf&gt;.","noteIndex":15},"citationItems":[{"id":1993,"uris":["http://zotero.org/users/local/OLPofQUL/items/YCKJJDKK"],"itemData":{"id":1993,"type":"report","publisher":"Victorian Public Sector Commission","title":"Code of Conduct for Victorian Public Sector Employees","URL":"https://vpsc.vic.gov.au/wp-content/uploads/2015/03/VPSC_Code_VPSE_WEB.pdf","author":[{"family":"Victorian Public Sector Commission","given":""}],"issued":{"date-parts":[["2015"]]}},"locator":"26-27","label":"page"}],"schema":"https://github.com/citation-style-language/schema/raw/master/csl-citation.json"}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Victorian Public Sector Commission, </w:t>
      </w:r>
      <w:r w:rsidRPr="00030932">
        <w:rPr>
          <w:rFonts w:cstheme="minorHAnsi"/>
          <w:i/>
          <w:iCs/>
          <w:sz w:val="16"/>
          <w:szCs w:val="16"/>
        </w:rPr>
        <w:t>Code of Conduct for Victorian Public Sector Employees</w:t>
      </w:r>
      <w:r w:rsidRPr="00030932">
        <w:rPr>
          <w:rFonts w:cstheme="minorHAnsi"/>
          <w:sz w:val="16"/>
          <w:szCs w:val="16"/>
        </w:rPr>
        <w:t xml:space="preserve"> (Victorian Public Sector Commission, 2015) 26–27 &lt;https://vpsc.vic.gov.au/wp-content/uploads/2015/03/VPSC_Code_VPSE_WEB.pdf&gt;.</w:t>
      </w:r>
      <w:r w:rsidRPr="00030932">
        <w:rPr>
          <w:rFonts w:cstheme="minorHAnsi"/>
          <w:sz w:val="16"/>
          <w:szCs w:val="16"/>
        </w:rPr>
        <w:fldChar w:fldCharType="end"/>
      </w:r>
    </w:p>
  </w:footnote>
  <w:footnote w:id="17">
    <w:p w14:paraId="01658AB0" w14:textId="3F1E4642" w:rsidR="00267FB4" w:rsidRPr="00030932" w:rsidRDefault="00267FB4">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387D0C" w:rsidRPr="00030932">
        <w:rPr>
          <w:rFonts w:cstheme="minorHAnsi"/>
          <w:i/>
          <w:sz w:val="16"/>
          <w:szCs w:val="16"/>
        </w:rPr>
        <w:t xml:space="preserve">Mental Health and Wellbeing Act 2002 </w:t>
      </w:r>
      <w:r w:rsidR="00387D0C" w:rsidRPr="00030932">
        <w:rPr>
          <w:rFonts w:cstheme="minorHAnsi"/>
          <w:sz w:val="16"/>
          <w:szCs w:val="16"/>
        </w:rPr>
        <w:t>(Vic)</w:t>
      </w:r>
      <w:r w:rsidR="003F08FD" w:rsidRPr="00030932">
        <w:rPr>
          <w:rFonts w:cstheme="minorHAnsi"/>
          <w:sz w:val="16"/>
          <w:szCs w:val="16"/>
        </w:rPr>
        <w:t xml:space="preserve"> ss 254(f) and 261(e).</w:t>
      </w:r>
    </w:p>
  </w:footnote>
  <w:footnote w:id="18">
    <w:p w14:paraId="0B316947" w14:textId="21B384B2" w:rsidR="00092F77" w:rsidRPr="00060252" w:rsidRDefault="00092F77" w:rsidP="00092F77">
      <w:pPr>
        <w:pStyle w:val="FootnoteText"/>
        <w:rPr>
          <w:rFonts w:cstheme="minorHAnsi"/>
          <w:color w:val="FFFFFF" w:themeColor="background1"/>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7032CA">
        <w:rPr>
          <w:rFonts w:cstheme="minorHAnsi"/>
          <w:sz w:val="16"/>
          <w:szCs w:val="16"/>
        </w:rPr>
        <w:instrText xml:space="preserve"> ADDIN ZOTERO_ITEM CSL_CITATION {"citationID":"XahO8CI6","properties":{"formattedCitation":"Victorian Ombudsman, {\\i{}The Ombudsman for Human Rights: A Casebook} (Victorian Ombudsman, August 2021) 5 &lt;https://assets.ombudsman.vic.gov.au/assets/The-Ombudsman-for-Human-Rights-A-Casebook-Aug-2021.pdf&gt;.","plainCitation":"Victorian Ombudsman, The Ombudsman for Human Rights: A Casebook (Victorian Ombudsman, August 2021) 5 &lt;https://assets.ombudsman.vic.gov.au/assets/The-Ombudsman-for-Human-Rights-A-Casebook-Aug-2021.pdf&gt;.","noteIndex":17},"citationItems":[{"id":1644,"uris":["http://zotero.org/users/local/OLPofQUL/items/X3HJCWV9"],"itemData":{"id":1644,"type":"report","publisher":"Victorian Ombudsman","title":"The Ombudsman for Human Rights: A Casebook","URL":"https://assets.ombudsman.vic.gov.au/assets/The-Ombudsman-for-Human-Rights-A-Casebook-Aug-2021.pdf","author":[{"family":"Victorian Ombudsman","given":""}],"issued":{"date-parts":[["2021",8]]}},"locator":"5","label":"page"}],"schema":"https://github.com/citation-style-language/schema/raw/master/csl-citation.json"}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Victorian Ombudsman, </w:t>
      </w:r>
      <w:r w:rsidRPr="00030932">
        <w:rPr>
          <w:rFonts w:cstheme="minorHAnsi"/>
          <w:i/>
          <w:iCs/>
          <w:sz w:val="16"/>
          <w:szCs w:val="16"/>
        </w:rPr>
        <w:t>The Ombudsman for Human Rights: A Casebook</w:t>
      </w:r>
      <w:r w:rsidRPr="00030932">
        <w:rPr>
          <w:rFonts w:cstheme="minorHAnsi"/>
          <w:sz w:val="16"/>
          <w:szCs w:val="16"/>
        </w:rPr>
        <w:t xml:space="preserve"> (Victorian Ombudsman, August 2021) 5 &lt;https://assets.ombudsman.vic.gov.au/assets/The-Ombudsman-for-Human-Rights-A-Casebook-Aug-2021.pdf&gt;.</w:t>
      </w:r>
      <w:r w:rsidRPr="00030932">
        <w:rPr>
          <w:rFonts w:cstheme="minorHAnsi"/>
          <w:sz w:val="16"/>
          <w:szCs w:val="16"/>
        </w:rPr>
        <w:fldChar w:fldCharType="end"/>
      </w:r>
    </w:p>
  </w:footnote>
  <w:footnote w:id="19">
    <w:p w14:paraId="4644594D" w14:textId="0064AB3D" w:rsidR="0099014A" w:rsidRPr="00060252" w:rsidRDefault="0099014A" w:rsidP="0099014A">
      <w:pPr>
        <w:pStyle w:val="FootnoteText"/>
        <w:rPr>
          <w:rFonts w:cstheme="minorHAnsi"/>
          <w:color w:val="FFFFFF" w:themeColor="background1"/>
          <w:sz w:val="16"/>
          <w:szCs w:val="16"/>
        </w:rPr>
      </w:pPr>
      <w:r w:rsidRPr="00EB2274">
        <w:rPr>
          <w:rStyle w:val="FootnoteReference"/>
        </w:rPr>
        <w:footnoteRef/>
      </w:r>
      <w:r w:rsidRPr="00060252">
        <w:rPr>
          <w:rFonts w:cstheme="minorHAnsi"/>
          <w:color w:val="FFFFFF" w:themeColor="background1"/>
          <w:sz w:val="16"/>
          <w:szCs w:val="16"/>
        </w:rPr>
        <w:t xml:space="preserve"> Mental Health Complaints </w:t>
      </w:r>
      <w:r w:rsidRPr="00060252">
        <w:rPr>
          <w:rFonts w:cstheme="minorHAnsi"/>
          <w:color w:val="FFFFFF" w:themeColor="background1"/>
          <w:sz w:val="16"/>
          <w:szCs w:val="16"/>
        </w:rPr>
        <w:fldChar w:fldCharType="begin"/>
      </w:r>
      <w:r w:rsidR="007032CA">
        <w:rPr>
          <w:rFonts w:cstheme="minorHAnsi"/>
          <w:color w:val="FFFFFF" w:themeColor="background1"/>
          <w:sz w:val="16"/>
          <w:szCs w:val="16"/>
        </w:rPr>
        <w:instrText xml:space="preserve"> ADDIN ZOTERO_ITEM CSL_CITATION {"citationID":"LzxeQkta","properties":{"formattedCitation":"Mental Health Complaints Commission, \\uc0\\u8216{}The Right to Be Safe: Ensuring Sexual Safety in Acute Mental Health Inpatient Units: Sexual Safety Project Report\\uc0\\u8217{} [2018] {\\i{}Mental Health Complaints Commission. Retrieved from https://www. mhcc. vic. gov. au/resources/publications}; Juliet Watson et al, {\\i{}Preventing Gender-Based Violence in Mental Health Inpatient Units} (Australia\\uc0\\u8217{}s National Research Organisation for Women\\uc0\\u8217{}s Safety, 2020).","plainCitation":"Mental Health Complaints Commission, ‘The Right to Be Safe: Ensuring Sexual Safety in Acute Mental Health Inpatient Units: Sexual Safety Project Report’ [2018] Mental Health Complaints Commission. Retrieved from https://www. mhcc. vic. gov. au/resources/publications; Juliet Watson et al, Preventing Gender-Based Violence in Mental Health Inpatient Units (Australia’s National Research Organisation for Women’s Safety, 2020).","noteIndex":18},"citationItems":[{"id":75,"uris":["http://zotero.org/users/local/OLPofQUL/items/VX2L2WSS"],"itemData":{"id":75,"type":"article-journal","container-title":"Mental Health Complaints Commission. Retrieved from https://www. mhcc. vic. gov. au/resources/publications","title":"The right to be safe: Ensuring sexual safety in acute mental health inpatient units: Sexual safety project report","author":[{"family":"Commission","given":"Mental Health Complaints"}],"issued":{"date-parts":[["2018"]]}}},{"id":78,"uris":["http://zotero.org/users/local/OLPofQUL/items/QNMEZU94"],"itemData":{"id":78,"type":"book","ISBN":"1-925925-99-4","note":"issue: ANROWS Research Report 01/2020","publisher":"Australia's National Research Organisation for Women's Safety","title":"Preventing gender-based violence in mental health inpatient units","author":[{"family":"Watson","given":"Juliet"},{"family":"Maylea","given":"Chris"},{"family":"Roberts","given":"Russell"},{"family":"Hill","given":"Nicholas"},{"family":"McCallum","given":"Susan"}],"issued":{"date-parts":[["2020"]]}}}],"schema":"https://github.com/citation-style-language/schema/raw/master/csl-citation.json"} </w:instrText>
      </w:r>
      <w:r w:rsidRPr="00060252">
        <w:rPr>
          <w:rFonts w:cstheme="minorHAnsi"/>
          <w:color w:val="FFFFFF" w:themeColor="background1"/>
          <w:sz w:val="16"/>
          <w:szCs w:val="16"/>
        </w:rPr>
        <w:fldChar w:fldCharType="separate"/>
      </w:r>
      <w:r w:rsidRPr="00060252">
        <w:rPr>
          <w:rFonts w:cstheme="minorHAnsi"/>
          <w:color w:val="FFFFFF" w:themeColor="background1"/>
          <w:sz w:val="16"/>
          <w:szCs w:val="16"/>
        </w:rPr>
        <w:t xml:space="preserve">Mental Health Complaints Commission, ‘The Right to Be Safe: Ensuring Sexual Safety in Acute Mental Health Inpatient Units: Sexual Safety Project Report’ [2018] </w:t>
      </w:r>
      <w:r w:rsidRPr="00060252">
        <w:rPr>
          <w:rFonts w:cstheme="minorHAnsi"/>
          <w:i/>
          <w:iCs/>
          <w:color w:val="FFFFFF" w:themeColor="background1"/>
          <w:sz w:val="16"/>
          <w:szCs w:val="16"/>
        </w:rPr>
        <w:t>Mental Health Complaints Commission. Retrieved from https://www. mhcc. vic. gov. au/resources/publications</w:t>
      </w:r>
      <w:r w:rsidRPr="00060252">
        <w:rPr>
          <w:rFonts w:cstheme="minorHAnsi"/>
          <w:color w:val="FFFFFF" w:themeColor="background1"/>
          <w:sz w:val="16"/>
          <w:szCs w:val="16"/>
        </w:rPr>
        <w:t xml:space="preserve">; Juliet Watson et al, </w:t>
      </w:r>
      <w:r w:rsidRPr="00060252">
        <w:rPr>
          <w:rFonts w:cstheme="minorHAnsi"/>
          <w:i/>
          <w:iCs/>
          <w:color w:val="FFFFFF" w:themeColor="background1"/>
          <w:sz w:val="16"/>
          <w:szCs w:val="16"/>
        </w:rPr>
        <w:t>Preventing Gender-Based Violence in Mental Health Inpatient Units</w:t>
      </w:r>
      <w:r w:rsidRPr="00060252">
        <w:rPr>
          <w:rFonts w:cstheme="minorHAnsi"/>
          <w:color w:val="FFFFFF" w:themeColor="background1"/>
          <w:sz w:val="16"/>
          <w:szCs w:val="16"/>
        </w:rPr>
        <w:t xml:space="preserve"> (Australia’s National Research Organisation for Women’s Safety, 2020).</w:t>
      </w:r>
      <w:r w:rsidRPr="00060252">
        <w:rPr>
          <w:rFonts w:cstheme="minorHAnsi"/>
          <w:color w:val="FFFFFF" w:themeColor="background1"/>
          <w:sz w:val="16"/>
          <w:szCs w:val="16"/>
        </w:rPr>
        <w:fldChar w:fldCharType="end"/>
      </w:r>
    </w:p>
  </w:footnote>
  <w:footnote w:id="20">
    <w:p w14:paraId="5BBE7061" w14:textId="1FD90EC7" w:rsidR="00356F28" w:rsidRPr="00D0441B" w:rsidRDefault="00356F28">
      <w:pPr>
        <w:pStyle w:val="FootnoteText"/>
        <w:rPr>
          <w:color w:val="FFFFFF" w:themeColor="background1"/>
          <w:sz w:val="16"/>
          <w:szCs w:val="16"/>
          <w:lang w:val="en-US"/>
        </w:rPr>
      </w:pPr>
      <w:r w:rsidRPr="00EB2274">
        <w:rPr>
          <w:rStyle w:val="FootnoteReference"/>
        </w:rPr>
        <w:footnoteRef/>
      </w:r>
      <w:r w:rsidRPr="00060252">
        <w:rPr>
          <w:color w:val="FFFFFF" w:themeColor="background1"/>
          <w:sz w:val="16"/>
          <w:szCs w:val="16"/>
        </w:rPr>
        <w:t xml:space="preserve"> </w:t>
      </w:r>
      <w:r w:rsidRPr="00060252">
        <w:rPr>
          <w:color w:val="FFFFFF" w:themeColor="background1"/>
          <w:sz w:val="16"/>
          <w:szCs w:val="16"/>
        </w:rPr>
        <w:fldChar w:fldCharType="begin"/>
      </w:r>
      <w:r w:rsidR="007032CA">
        <w:rPr>
          <w:color w:val="FFFFFF" w:themeColor="background1"/>
          <w:sz w:val="16"/>
          <w:szCs w:val="16"/>
        </w:rPr>
        <w:instrText xml:space="preserve"> ADDIN ZOTERO_ITEM CSL_CITATION {"citationID":"04f9joDo","properties":{"formattedCitation":"Ian B Hickie, \\uc0\\u8216{}Building the Social, Economic, Legal, and Health-Care Foundations for \\uc0\\u8220{}Contributing Lives and Thriving Communities\\uc0\\u8221{}\\uc0\\u8217{} (2020) 7(2) {\\i{}The Lancet Psychiatry} 119.","plainCitation":"Ian B Hickie, ‘Building the Social, Economic, Legal, and Health-Care Foundations for “Contributing Lives and Thriving Communities”’ (2020) 7(2) The Lancet Psychiatry 119.","noteIndex":19},"citationItems":[{"id":300,"uris":["http://zotero.org/users/local/OLPofQUL/items/7XDDN6HL"],"itemData":{"id":300,"type":"article-journal","container-title":"The Lancet Psychiatry","issue":"2","note":"ISBN: 2215-0366\npublisher: Elsevier","page":"119-121","title":"Building the social, economic, legal, and health-care foundations for “Contributing Lives and Thriving Communities”","volume":"7","author":[{"family":"Hickie","given":"Ian B."}],"issued":{"date-parts":[["2020"]]}}}],"schema":"https://github.com/citation-style-language/schema/raw/master/csl-citation.json"} </w:instrText>
      </w:r>
      <w:r w:rsidRPr="00060252">
        <w:rPr>
          <w:color w:val="FFFFFF" w:themeColor="background1"/>
          <w:sz w:val="16"/>
          <w:szCs w:val="16"/>
        </w:rPr>
        <w:fldChar w:fldCharType="separate"/>
      </w:r>
      <w:r w:rsidRPr="00060252">
        <w:rPr>
          <w:rFonts w:ascii="Calibri" w:hAnsi="Calibri" w:cs="Calibri"/>
          <w:color w:val="FFFFFF" w:themeColor="background1"/>
          <w:sz w:val="16"/>
          <w:szCs w:val="16"/>
        </w:rPr>
        <w:t xml:space="preserve">Ian B Hickie, ‘Building the Social, Economic, Legal, and Health-Care Foundations for “Contributing Lives and Thriving Communities”’ (2020) 7(2) </w:t>
      </w:r>
      <w:r w:rsidRPr="00060252">
        <w:rPr>
          <w:rFonts w:ascii="Calibri" w:hAnsi="Calibri" w:cs="Calibri"/>
          <w:i/>
          <w:iCs/>
          <w:color w:val="FFFFFF" w:themeColor="background1"/>
          <w:sz w:val="16"/>
          <w:szCs w:val="16"/>
        </w:rPr>
        <w:t>The Lancet Psychiatry</w:t>
      </w:r>
      <w:r w:rsidRPr="00060252">
        <w:rPr>
          <w:rFonts w:ascii="Calibri" w:hAnsi="Calibri" w:cs="Calibri"/>
          <w:color w:val="FFFFFF" w:themeColor="background1"/>
          <w:sz w:val="16"/>
          <w:szCs w:val="16"/>
        </w:rPr>
        <w:t xml:space="preserve"> 119.</w:t>
      </w:r>
      <w:r w:rsidRPr="00060252">
        <w:rPr>
          <w:color w:val="FFFFFF" w:themeColor="background1"/>
          <w:sz w:val="16"/>
          <w:szCs w:val="16"/>
        </w:rPr>
        <w:fldChar w:fldCharType="end"/>
      </w:r>
    </w:p>
  </w:footnote>
  <w:footnote w:id="21">
    <w:p w14:paraId="4722AC73" w14:textId="40D531F4" w:rsidR="0099014A" w:rsidRPr="00030932" w:rsidRDefault="0099014A" w:rsidP="0099014A">
      <w:pPr>
        <w:pStyle w:val="FootnoteText"/>
        <w:rPr>
          <w:rFonts w:cstheme="minorHAnsi"/>
          <w:sz w:val="16"/>
          <w:szCs w:val="16"/>
        </w:rPr>
      </w:pPr>
      <w:r w:rsidRPr="00EB2274">
        <w:rPr>
          <w:rStyle w:val="FootnoteReference"/>
        </w:rPr>
        <w:footnoteRef/>
      </w:r>
      <w:r w:rsidRPr="00060252">
        <w:rPr>
          <w:rFonts w:cstheme="minorHAnsi"/>
          <w:color w:val="FFFFFF" w:themeColor="background1"/>
          <w:sz w:val="16"/>
          <w:szCs w:val="16"/>
        </w:rPr>
        <w:t xml:space="preserve"> </w:t>
      </w:r>
      <w:r w:rsidRPr="00060252">
        <w:rPr>
          <w:rFonts w:cstheme="minorHAnsi"/>
          <w:color w:val="FFFFFF" w:themeColor="background1"/>
          <w:sz w:val="16"/>
          <w:szCs w:val="16"/>
        </w:rPr>
        <w:fldChar w:fldCharType="begin"/>
      </w:r>
      <w:r w:rsidR="007032CA">
        <w:rPr>
          <w:rFonts w:cstheme="minorHAnsi"/>
          <w:color w:val="FFFFFF" w:themeColor="background1"/>
          <w:sz w:val="16"/>
          <w:szCs w:val="16"/>
        </w:rPr>
        <w:instrText xml:space="preserve"> ADDIN ZOTERO_ITEM CSL_CITATION {"citationID":"lUSl7T1Y","properties":{"formattedCitation":"Christopher Maylea, \\uc0\\u8216{}The Capacity to Consent to Sex in Mental Health Inpatient Units\\uc0\\u8217{} (2019) 53(11) {\\i{}Australian &amp; New Zealand Journal of Psychiatry} 1070.","plainCitation":"Christopher Maylea, ‘The Capacity to Consent to Sex in Mental Health Inpatient Units’ (2019) 53(11) Australian &amp; New Zealand Journal of Psychiatry 1070.","noteIndex":20},"citationItems":[{"id":76,"uris":["http://zotero.org/users/local/OLPofQUL/items/5CCWGWQG"],"itemData":{"id":76,"type":"article-journal","container-title":"Australian &amp; New Zealand Journal of Psychiatry","issue":"11","note":"ISBN: 0004-8674\npublisher: SAGE Publications Sage UK: London, England","page":"1070-1079","title":"The capacity to consent to sex in mental health inpatient units","volume":"53","author":[{"family":"Maylea","given":"Christopher"}],"issued":{"date-parts":[["2019"]]}}}],"schema":"https://github.com/citation-style-language/schema/raw/master/csl-citation.json"} </w:instrText>
      </w:r>
      <w:r w:rsidRPr="00060252">
        <w:rPr>
          <w:rFonts w:cstheme="minorHAnsi"/>
          <w:color w:val="FFFFFF" w:themeColor="background1"/>
          <w:sz w:val="16"/>
          <w:szCs w:val="16"/>
        </w:rPr>
        <w:fldChar w:fldCharType="separate"/>
      </w:r>
      <w:r w:rsidRPr="00060252">
        <w:rPr>
          <w:rFonts w:cstheme="minorHAnsi"/>
          <w:color w:val="FFFFFF" w:themeColor="background1"/>
          <w:sz w:val="16"/>
          <w:szCs w:val="16"/>
        </w:rPr>
        <w:t xml:space="preserve">Christopher Maylea, ‘The Capacity to Consent to Sex in Mental Health Inpatient Units’ (2019) 53(11) </w:t>
      </w:r>
      <w:r w:rsidRPr="00060252">
        <w:rPr>
          <w:rFonts w:cstheme="minorHAnsi"/>
          <w:i/>
          <w:iCs/>
          <w:color w:val="FFFFFF" w:themeColor="background1"/>
          <w:sz w:val="16"/>
          <w:szCs w:val="16"/>
        </w:rPr>
        <w:t>Australian &amp; New Zealand Journal of Psychiatry</w:t>
      </w:r>
      <w:r w:rsidRPr="00060252">
        <w:rPr>
          <w:rFonts w:cstheme="minorHAnsi"/>
          <w:color w:val="FFFFFF" w:themeColor="background1"/>
          <w:sz w:val="16"/>
          <w:szCs w:val="16"/>
        </w:rPr>
        <w:t xml:space="preserve"> 1070.</w:t>
      </w:r>
      <w:r w:rsidRPr="00060252">
        <w:rPr>
          <w:rFonts w:cstheme="minorHAnsi"/>
          <w:color w:val="FFFFFF" w:themeColor="background1"/>
          <w:sz w:val="16"/>
          <w:szCs w:val="16"/>
        </w:rPr>
        <w:fldChar w:fldCharType="end"/>
      </w:r>
    </w:p>
  </w:footnote>
  <w:footnote w:id="22">
    <w:p w14:paraId="72963797" w14:textId="26338C07" w:rsidR="00CB7510" w:rsidRPr="00030932" w:rsidRDefault="00CB7510" w:rsidP="00CB7510">
      <w:pPr>
        <w:pStyle w:val="FootnoteText"/>
        <w:rPr>
          <w:rFonts w:cstheme="minorHAnsi"/>
          <w:sz w:val="16"/>
          <w:szCs w:val="16"/>
          <w:lang w:val="en-US"/>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{"citationID":"JVGdUXWW","properties":{"formattedCitation":"These are typical consumer lived experience roles. There are often similar roles provided to carer lived experience workers: Vrinda Edan et al, \\uc0\\u8216{}Employed but Not Included: The Case of Consumer-Workers in Mental Health Care Services\\uc0\\u8217{} [2021] {\\i{}The International Journal of Human Resource Management} 1, 4.","plainCitation":"These are typical consumer lived experience roles. There are often similar roles provided to carer lived experience workers: Vrinda Edan et al, ‘Employed but Not Included: The Case of Consumer-Workers in Mental Health Care Services’ [2021] The International Journal of Human Resource Management 1, 4.","noteIndex":21},"citationItems":[{"id":331,"uris":["http://zotero.org/users/local/OLPofQUL/items/NRRZFY24"],"itemData":{"id":331,"type":"article-journal","container-title":"The International Journal of Human Resource Management","note":"ISBN: 0958-5192\npublisher: Taylor &amp; Francis","page":"1-30","title":"Employed but not included: the case of consumer-workers in mental health care services","author":[{"family":"Edan","given":"Vrinda"},{"family":"Sellick","given":"Kathryn"},{"family":"Ainsworth","given":"Susan"},{"family":"Alvarez-Varquez","given":"Susie"},{"family":"Johnson","given":"Brendan"},{"family":"Smale","given":"Krystyn"},{"family":"Randall","given":"Rory"},{"family":"Roper","given":"Cath"}],"issued":{"date-parts":[["2021"]]}},"locator":"4","label":"page","prefix":"These are typical consumer lived experience roles. There are often similar roles provided to carer lived experience workers:"}],"schema":"https://github.com/citation-style-language/schema/raw/master/csl-citation.json"}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These are typical consumer lived experience roles. There are often similar roles provided to carer lived experience workers: Vrinda Edan et al, ‘Employed but Not Included: The Case of Consumer-Workers in Mental Health Care Services’ [2021] </w:t>
      </w:r>
      <w:r w:rsidRPr="00030932">
        <w:rPr>
          <w:rFonts w:cstheme="minorHAnsi"/>
          <w:i/>
          <w:iCs/>
          <w:sz w:val="16"/>
          <w:szCs w:val="16"/>
        </w:rPr>
        <w:t>The International Journal of Human Resource Management</w:t>
      </w:r>
      <w:r w:rsidRPr="00030932">
        <w:rPr>
          <w:rFonts w:cstheme="minorHAnsi"/>
          <w:sz w:val="16"/>
          <w:szCs w:val="16"/>
        </w:rPr>
        <w:t xml:space="preserve"> 1, 4.</w:t>
      </w:r>
      <w:r w:rsidRPr="00030932">
        <w:rPr>
          <w:rFonts w:cstheme="minorHAnsi"/>
          <w:sz w:val="16"/>
          <w:szCs w:val="16"/>
        </w:rPr>
        <w:fldChar w:fldCharType="end"/>
      </w:r>
    </w:p>
  </w:footnote>
  <w:footnote w:id="23">
    <w:p w14:paraId="5F6FCFB7" w14:textId="1287B6B8"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{"citationID":"FYhDqxqV","properties":{"formattedCitation":"Victoria Legal Aid (n 7) 20.","plainCitation":"Victoria Legal Aid (n 7) 20.","noteIndex":22},"citationItems":[{"id":56,"uris":["http://zotero.org/users/local/OLPofQUL/items/NAESJ9R5"],"itemData":{"id":56,"type":"report","event-place":"Victoria Legal Aid","publisher":"Victoria Legal Aid","publisher-place":"Victoria Legal Aid","title":"Your story, your say: Consumers' priority issues and solutions for the Royal Commission into Victoria's Mental Health System","URL":"https://www.legalaid.vic.gov.au/sites/www.legalaid.vic.gov.au/files/vla-your-story-your-say-report.pdf","author":[{"literal":"Victoria Legal Aid"}],"issued":{"date-parts":[["2020"]]}},"locator":"20","label":"page"}],"schema":"https://github.com/citation-style-language/schema/raw/master/csl-citation.json"} </w:instrText>
      </w:r>
      <w:r w:rsidRPr="00030932">
        <w:rPr>
          <w:rFonts w:cstheme="minorHAnsi"/>
          <w:sz w:val="16"/>
          <w:szCs w:val="16"/>
        </w:rPr>
        <w:fldChar w:fldCharType="separate"/>
      </w:r>
      <w:r w:rsidR="007032CA" w:rsidRPr="007032CA">
        <w:rPr>
          <w:rFonts w:ascii="Calibri" w:hAnsi="Calibri" w:cs="Calibri"/>
          <w:sz w:val="16"/>
        </w:rPr>
        <w:t>Victoria Legal Aid (n 7) 20.</w:t>
      </w:r>
      <w:r w:rsidRPr="00030932">
        <w:rPr>
          <w:rFonts w:cstheme="minorHAnsi"/>
          <w:sz w:val="16"/>
          <w:szCs w:val="16"/>
        </w:rPr>
        <w:fldChar w:fldCharType="end"/>
      </w:r>
    </w:p>
  </w:footnote>
  <w:footnote w:id="24">
    <w:p w14:paraId="5F8081EF" w14:textId="15C986F0"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{"citationID":"XFSmiD8l","properties":{"formattedCitation":"State of Victoria, {\\i{}Royal Commission into Victoria\\uc0\\u8217{}s Mental Health System, Volume 3: Promoting Inclusion and Addressing Inequities} (No Parliamentary Paper no. 202, Session 2018-2021 (document 4 of 6), State of Victoria, 2021) 18 &lt;https://finalreport.rcvmhs.vic.gov.au/download-report/&gt;.","plainCitation":"State of Victoria, Royal Commission into Victoria’s Mental Health System, Volume 3: Promoting Inclusion and Addressing Inequities (No Parliamentary Paper no. 202, Session 2018-2021 (document 4 of 6), State of Victoria, 2021) 18 &lt;https://finalreport.rcvmhs.vic.gov.au/download-report/&gt;.","noteIndex":23},"citationItems":[{"id":545,"uris":["http://zotero.org/users/local/OLPofQUL/items/2CWX2S5X"],"itemData":{"id":545,"type":"report","number":"Parliamentary Paper no. 202, Session 2018-2021 (document 4 of 6)","publisher":"State of Victoria","title":"Royal Commission into Victoria's Mental Health System, Volume 3: Promoting inclusion and addressing inequities","URL":"https://finalreport.rcvmhs.vic.gov.au/download-report/","author":[{"family":"State of Victoria","given":""}],"issued":{"date-parts":[["2021"]]}},"locator":"18","label":"page"}],"schema":"https://github.com/citation-style-language/schema/raw/master/csl-citation.json"} </w:instrText>
      </w:r>
      <w:r w:rsidRPr="00030932">
        <w:rPr>
          <w:rFonts w:cstheme="minorHAnsi"/>
          <w:sz w:val="16"/>
          <w:szCs w:val="16"/>
        </w:rPr>
        <w:fldChar w:fldCharType="separate"/>
      </w:r>
      <w:r w:rsidR="00C468D3" w:rsidRPr="00030932">
        <w:rPr>
          <w:rFonts w:cstheme="minorHAnsi"/>
          <w:sz w:val="16"/>
          <w:szCs w:val="16"/>
        </w:rPr>
        <w:t xml:space="preserve">State of Victoria, </w:t>
      </w:r>
      <w:r w:rsidR="00C468D3" w:rsidRPr="00030932">
        <w:rPr>
          <w:rFonts w:cstheme="minorHAnsi"/>
          <w:i/>
          <w:iCs/>
          <w:sz w:val="16"/>
          <w:szCs w:val="16"/>
        </w:rPr>
        <w:t>Royal Commission into Victoria’s Mental Health System, Volume 3: Promoting Inclusion and Addressing Inequities</w:t>
      </w:r>
      <w:r w:rsidR="00C468D3" w:rsidRPr="00030932">
        <w:rPr>
          <w:rFonts w:cstheme="minorHAnsi"/>
          <w:sz w:val="16"/>
          <w:szCs w:val="16"/>
        </w:rPr>
        <w:t xml:space="preserve"> (No Parliamentary Paper no. 202, Session 2018-2021 (document 4 of 6), State of Victoria, 2021) 18 &lt;https://finalreport.rcvmhs.vic.gov.au/download-report/&gt;.</w:t>
      </w:r>
      <w:r w:rsidRPr="00030932">
        <w:rPr>
          <w:rFonts w:cstheme="minorHAnsi"/>
          <w:sz w:val="16"/>
          <w:szCs w:val="16"/>
        </w:rPr>
        <w:fldChar w:fldCharType="end"/>
      </w:r>
    </w:p>
  </w:footnote>
  <w:footnote w:id="25">
    <w:p w14:paraId="6005A196" w14:textId="36B0D9ED"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{"citationID":"LgUgNZhu","properties":{"formattedCitation":"Chris Maylea et al, \\uc0\\u8216{}Consumers\\uc0\\u8217{} Experiences of Rights-Based Mental Health Laws: Lessons from Victoria, Australia\\uc0\\u8217{} (2021) 78 {\\i{}International Journal of Law and Psychiatry} &lt;https://doi.org/10.1016/j.ijlp.2021.101737.&gt;.","plainCitation":"Chris Maylea et al, ‘Consumers’ Experiences of Rights-Based Mental Health Laws: Lessons from Victoria, Australia’ (2021) 78 International Journal of Law and Psychiatry &lt;https://doi.org/10.1016/j.ijlp.2021.101737.&gt;.","noteIndex":24},"citationItems":[{"id":681,"uris":["http://zotero.org/users/local/OLPofQUL/items/K37PLPJH"],"itemData":{"id":681,"type":"article-journal","container-title":"International Journal of Law and Psychiatry","DOI":"101737","ISSN":"0160-2527","title":"Consumers’ experiences of rights-based mental health laws: Lessons from Victoria, Australia","URL":"https://doi.org/10.1016/j.ijlp.2021.101737.","volume":"78","author":[{"family":"Maylea","given":"Chris"},{"family":"Katterl","given":"Simon"},{"family":"Johnson","given":"Brendan"},{"family":"Alvarez-Varquez","given":"Susan"},{"family":"Hill","given":"Nicholas"},{"family":"Weller","given":"Penelope"}],"issued":{"date-parts":[["2021"]]}}}],"schema":"https://github.com/citation-style-language/schema/raw/master/csl-citation.json"} </w:instrText>
      </w:r>
      <w:r w:rsidRPr="00030932">
        <w:rPr>
          <w:rFonts w:cstheme="minorHAnsi"/>
          <w:sz w:val="16"/>
          <w:szCs w:val="16"/>
        </w:rPr>
        <w:fldChar w:fldCharType="separate"/>
      </w:r>
      <w:r w:rsidR="0085211F" w:rsidRPr="00030932">
        <w:rPr>
          <w:rFonts w:ascii="Calibri" w:hAnsi="Calibri" w:cs="Calibri"/>
          <w:sz w:val="16"/>
          <w:szCs w:val="16"/>
        </w:rPr>
        <w:t xml:space="preserve">Chris Maylea et al, ‘Consumers’ Experiences of Rights-Based Mental Health Laws: Lessons from Victoria, Australia’ (2021) 78 </w:t>
      </w:r>
      <w:r w:rsidR="0085211F" w:rsidRPr="00030932">
        <w:rPr>
          <w:rFonts w:ascii="Calibri" w:hAnsi="Calibri" w:cs="Calibri"/>
          <w:i/>
          <w:iCs/>
          <w:sz w:val="16"/>
          <w:szCs w:val="16"/>
        </w:rPr>
        <w:t>International Journal of Law and Psychiatry</w:t>
      </w:r>
      <w:r w:rsidR="0085211F" w:rsidRPr="00030932">
        <w:rPr>
          <w:rFonts w:ascii="Calibri" w:hAnsi="Calibri" w:cs="Calibri"/>
          <w:sz w:val="16"/>
          <w:szCs w:val="16"/>
        </w:rPr>
        <w:t xml:space="preserve"> &lt;https://doi.org/10.1016/j.ijlp.2021.101737.&gt;.</w:t>
      </w:r>
      <w:r w:rsidRPr="00030932">
        <w:rPr>
          <w:rFonts w:cstheme="minorHAnsi"/>
          <w:sz w:val="16"/>
          <w:szCs w:val="16"/>
        </w:rPr>
        <w:fldChar w:fldCharType="end"/>
      </w:r>
    </w:p>
  </w:footnote>
  <w:footnote w:id="26">
    <w:p w14:paraId="5314E9AF" w14:textId="233C75A4"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{"citationID":"n9fyulFI","properties":{"formattedCitation":"Victorian Mental Illness Awareness Council, {\\i{}Seclusion Report # 3} (Victorian Mental Illness Awareness Council, 2022) &lt;https://www.vmiac.org.au/wp-content/uploads/VMIAC-Seclusion-Report-3_2020-21_Web-Version-2.2_300dpi-High-res-1.pdf&gt;.","plainCitation":"Victorian Mental Illness Awareness Council, Seclusion Report # 3 (Victorian Mental Illness Awareness Council, 2022) &lt;https://www.vmiac.org.au/wp-content/uploads/VMIAC-Seclusion-Report-3_2020-21_Web-Version-2.2_300dpi-High-res-1.pdf&gt;.","noteIndex":25},"citationItems":[{"id":1282,"uris":["http://zotero.org/users/local/OLPofQUL/items/GLPDY5JV"],"itemData":{"id":1282,"type":"report","publisher":"Victorian Mental Illness Awareness Council","title":"Seclusion report # 3","URL":"https://www.vmiac.org.au/wp-content/uploads/VMIAC-Seclusion-Report-3_2020-21_Web-Version-2.2_300dpi-High-res-1.pdf","author":[{"literal":"Victorian Mental Illness Awareness Council"}],"issued":{"date-parts":[["2022"]]}}}],"schema":"https://github.com/citation-style-language/schema/raw/master/csl-citation.json"}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Victorian Mental Illness Awareness Council, </w:t>
      </w:r>
      <w:r w:rsidRPr="00030932">
        <w:rPr>
          <w:rFonts w:cstheme="minorHAnsi"/>
          <w:i/>
          <w:iCs/>
          <w:sz w:val="16"/>
          <w:szCs w:val="16"/>
        </w:rPr>
        <w:t>Seclusion Report # 3</w:t>
      </w:r>
      <w:r w:rsidRPr="00030932">
        <w:rPr>
          <w:rFonts w:cstheme="minorHAnsi"/>
          <w:sz w:val="16"/>
          <w:szCs w:val="16"/>
        </w:rPr>
        <w:t xml:space="preserve"> (Victorian Mental Illness Awareness Council, 2022) &lt;https://www.vmiac.org.au/wp-content/uploads/VMIAC-Seclusion-Report-3_2020-21_Web-Version-2.2_300dpi-High-res-1.pdf&gt;.</w:t>
      </w:r>
      <w:r w:rsidRPr="00030932">
        <w:rPr>
          <w:rFonts w:cstheme="minorHAnsi"/>
          <w:sz w:val="16"/>
          <w:szCs w:val="16"/>
        </w:rPr>
        <w:fldChar w:fldCharType="end"/>
      </w:r>
    </w:p>
  </w:footnote>
  <w:footnote w:id="27">
    <w:p w14:paraId="6455B185" w14:textId="1597F0FB"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{"citationID":"YFcJSn2b","properties":{"formattedCitation":"Commission (n 18).","plainCitation":"Commission (n 18).","noteIndex":26},"citationItems":[{"id":75,"uris":["http://zotero.org/users/local/OLPofQUL/items/VX2L2WSS"],"itemData":{"id":75,"type":"article-journal","container-title":"Mental Health Complaints Commission. Retrieved from https://www. mhcc. vic. gov. au/resources/publications","title":"The right to be safe: Ensuring sexual safety in acute mental health inpatient units: Sexual safety project report","author":[{"family":"Commission","given":"Mental Health Complaints"}],"issued":{"date-parts":[["2018"]]}}}],"schema":"https://github.com/citation-style-language/schema/raw/master/csl-citation.json"} </w:instrText>
      </w:r>
      <w:r w:rsidRPr="00030932">
        <w:rPr>
          <w:rFonts w:cstheme="minorHAnsi"/>
          <w:sz w:val="16"/>
          <w:szCs w:val="16"/>
        </w:rPr>
        <w:fldChar w:fldCharType="separate"/>
      </w:r>
      <w:r w:rsidR="007032CA" w:rsidRPr="007032CA">
        <w:rPr>
          <w:rFonts w:ascii="Calibri" w:hAnsi="Calibri" w:cs="Calibri"/>
          <w:sz w:val="16"/>
        </w:rPr>
        <w:t>Commission (n 18).</w:t>
      </w:r>
      <w:r w:rsidRPr="00030932">
        <w:rPr>
          <w:rFonts w:cstheme="minorHAnsi"/>
          <w:sz w:val="16"/>
          <w:szCs w:val="16"/>
        </w:rPr>
        <w:fldChar w:fldCharType="end"/>
      </w:r>
    </w:p>
  </w:footnote>
  <w:footnote w:id="28">
    <w:p w14:paraId="46881814" w14:textId="3533EC8E"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{"citationID":"5NclXqT1","properties":{"formattedCitation":"Tandem, {\\i{}Submission to the Royal Commission into Victoria\\uc0\\u8217{}s Mental Health System} (Tandem, 2019) &lt;http://rcvmhs.archive.royalcommission.vic.gov.au/Tandem.pdf&gt;.","plainCitation":"Tandem, Submission to the Royal Commission into Victoria’s Mental Health System (Tandem, 2019) &lt;http://rcvmhs.archive.royalcommission.vic.gov.au/Tandem.pdf&gt;.","noteIndex":27},"citationItems":[{"id":1587,"uris":["http://zotero.org/users/local/OLPofQUL/items/4WFXWU2H"],"itemData":{"id":1587,"type":"report","event-place":"Melbourne, VIC, Australia","publisher":"Tandem","publisher-place":"Melbourne, VIC, Australia","title":"Submission to the Royal Commission into Victoria's Mental Health System","URL":"http://rcvmhs.archive.royalcommission.vic.gov.au/Tandem.pdf","author":[{"family":"Tandem","given":""}],"issued":{"date-parts":[["2019"]]}}}],"schema":"https://github.com/citation-style-language/schema/raw/master/csl-citation.json"} </w:instrText>
      </w:r>
      <w:r w:rsidRPr="00030932">
        <w:rPr>
          <w:rFonts w:cstheme="minorHAnsi"/>
          <w:sz w:val="16"/>
          <w:szCs w:val="16"/>
        </w:rPr>
        <w:fldChar w:fldCharType="separate"/>
      </w:r>
      <w:r w:rsidRPr="00030932">
        <w:rPr>
          <w:rFonts w:cstheme="minorHAnsi"/>
          <w:sz w:val="16"/>
          <w:szCs w:val="16"/>
        </w:rPr>
        <w:t xml:space="preserve">Tandem, </w:t>
      </w:r>
      <w:r w:rsidRPr="00030932">
        <w:rPr>
          <w:rFonts w:cstheme="minorHAnsi"/>
          <w:i/>
          <w:iCs/>
          <w:sz w:val="16"/>
          <w:szCs w:val="16"/>
        </w:rPr>
        <w:t>Submission to the Royal Commission into Victoria’s Mental Health System</w:t>
      </w:r>
      <w:r w:rsidRPr="00030932">
        <w:rPr>
          <w:rFonts w:cstheme="minorHAnsi"/>
          <w:sz w:val="16"/>
          <w:szCs w:val="16"/>
        </w:rPr>
        <w:t xml:space="preserve"> (Tandem, 2019) &lt;http://rcvmhs.archive.royalcommission.vic.gov.au/Tandem.pdf&gt;.</w:t>
      </w:r>
      <w:r w:rsidRPr="00030932">
        <w:rPr>
          <w:rFonts w:cstheme="minorHAnsi"/>
          <w:sz w:val="16"/>
          <w:szCs w:val="16"/>
        </w:rPr>
        <w:fldChar w:fldCharType="end"/>
      </w:r>
    </w:p>
  </w:footnote>
  <w:footnote w:id="29">
    <w:p w14:paraId="6E108C28" w14:textId="4635D811"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C234E1" w:rsidRPr="00030932">
        <w:rPr>
          <w:rFonts w:cstheme="minorHAnsi"/>
          <w:sz w:val="16"/>
          <w:szCs w:val="16"/>
        </w:rPr>
        <w:t>Charter</w:t>
      </w:r>
      <w:r w:rsidRPr="00030932">
        <w:rPr>
          <w:rFonts w:cstheme="minorHAnsi"/>
          <w:sz w:val="16"/>
          <w:szCs w:val="16"/>
        </w:rPr>
        <w:t xml:space="preserve"> s 19(2).</w:t>
      </w:r>
    </w:p>
  </w:footnote>
  <w:footnote w:id="30">
    <w:p w14:paraId="709A9DD4" w14:textId="4C3EC1B6" w:rsidR="001131D7" w:rsidRPr="00060252" w:rsidRDefault="001131D7">
      <w:pPr>
        <w:pStyle w:val="FootnoteText"/>
        <w:rPr>
          <w:sz w:val="16"/>
          <w:szCs w:val="16"/>
        </w:rPr>
      </w:pPr>
      <w:r w:rsidRPr="00EB2274">
        <w:rPr>
          <w:rStyle w:val="FootnoteReference"/>
        </w:rPr>
        <w:footnoteRef/>
      </w:r>
      <w:r w:rsidRPr="00060252">
        <w:rPr>
          <w:sz w:val="16"/>
          <w:szCs w:val="16"/>
        </w:rPr>
        <w:t xml:space="preserve"> </w:t>
      </w:r>
      <w:r w:rsidRPr="00060252">
        <w:rPr>
          <w:sz w:val="16"/>
          <w:szCs w:val="16"/>
        </w:rPr>
        <w:fldChar w:fldCharType="begin"/>
      </w:r>
      <w:r w:rsidR="003C366D">
        <w:rPr>
          <w:sz w:val="16"/>
          <w:szCs w:val="16"/>
        </w:rPr>
        <w:instrText xml:space="preserve"> ADDIN ZOTERO_ITEM CSL_CITATION {"citationID":"SXLxGWut","properties":{"formattedCitation":"Neeraj S Gill et al, \\uc0\\u8216{}Opening the Doors: Critically Examining the Locked Wards Policy for Public Mental Health Inpatient Units in Queensland Australia\\uc0\\u8217{} (2021) 55(9) {\\i{}Australian &amp; New Zealand Journal of Psychiatry} 844; Henk Nijman et al, \\uc0\\u8216{}Door Locking and Exit Security Measures on Acute Psychiatric Admission Wards\\uc0\\u8217{} (2011) 18(7) {\\i{}Journal of Psychiatric and Mental Health Nursing} 614; Tilman Steinert et al, \\uc0\\u8216{}Open Doors in Psychiatric Hospitals: An Overview of Empirical Findings\\uc0\\u8217{} (2019) 90 {\\i{}Der Nervenarzt} 680.","plainCitation":"Neeraj S Gill et al, ‘Opening the Doors: Critically Examining the Locked Wards Policy for Public Mental Health Inpatient Units in Queensland Australia’ (2021) 55(9) Australian &amp; New Zealand Journal of Psychiatry 844; Henk Nijman et al, ‘Door Locking and Exit Security Measures on Acute Psychiatric Admission Wards’ (2011) 18(7) Journal of Psychiatric and Mental Health Nursing 614; Tilman Steinert et al, ‘Open Doors in Psychiatric Hospitals: An Overview of Empirical Findings’ (2019) 90 Der Nervenarzt 680.","noteIndex":29},"citationItems":[{"id":2024,"uris":["http://zotero.org/users/local/OLPofQUL/items/PECWXIEX"],"itemData":{"id":2024,"type":"article-journal","container-title":"Australian &amp; New Zealand Journal of Psychiatry","issue":"9","note":"ISBN: 0004-8674\npublisher: Sage Publications Sage UK: London, England","page":"844-848","title":"Opening the doors: Critically examining the locked wards policy for public mental health inpatient units in Queensland Australia","volume":"55","author":[{"family":"Gill","given":"Neeraj S."},{"family":"Parker","given":"Stephen"},{"family":"Amos","given":"Andrew"},{"family":"Lakeman","given":"Richard"},{"family":"Emeleus","given":"Mary"},{"family":"Brophy","given":"Lisa"},{"family":"Kisely","given":"Steve"}],"issued":{"date-parts":[["2021"]]}}},{"id":2143,"uris":["http://zotero.org/users/local/OLPofQUL/items/L2TZPRMF"],"itemData":{"id":2143,"type":"article-journal","container-title":"Journal of Psychiatric and Mental Health Nursing","issue":"7","note":"ISBN: 1351-0126\npublisher: Wiley Online Library","page":"614-621","title":"Door locking and exit security measures on acute psychiatric admission wards","volume":"18","author":[{"family":"Nijman","given":"Henk"},{"family":"Bowers","given":"Len"},{"family":"Haglund","given":"Kristina"},{"family":"MUIR‐COCHRANE","given":"Eimear"},{"family":"Simpson","given":"Alan"},{"family":"Van der Merwe","given":"Marie"}],"issued":{"date-parts":[["2011"]]}}},{"id":2145,"uris":["http://zotero.org/users/local/OLPofQUL/items/4WJAA8PA"],"itemData":{"id":2145,"type":"article-journal","container-title":"Der Nervenarzt","note":"ISBN: 0028-2804\npublisher: Springer","page":"680-689","title":"Open doors in psychiatric hospitals: an overview of empirical findings","volume":"90","author":[{"family":"Steinert","given":"Tilman"},{"family":"Schreiber","given":"Lisa"},{"family":"Metzger","given":"Florian G."},{"family":"Hirsch","given":"Sophie"}],"issued":{"date-parts":[["2019"]]}}}],"schema":"https://github.com/citation-style-language/schema/raw/master/csl-citation.json"} </w:instrText>
      </w:r>
      <w:r w:rsidRPr="00060252">
        <w:rPr>
          <w:sz w:val="16"/>
          <w:szCs w:val="16"/>
        </w:rPr>
        <w:fldChar w:fldCharType="separate"/>
      </w:r>
      <w:r w:rsidR="00852255" w:rsidRPr="00060252">
        <w:rPr>
          <w:rFonts w:ascii="Calibri" w:hAnsi="Calibri" w:cs="Calibri"/>
          <w:sz w:val="16"/>
          <w:szCs w:val="16"/>
        </w:rPr>
        <w:t xml:space="preserve">Neeraj S Gill et al, ‘Opening the Doors: Critically Examining the Locked Wards Policy for Public Mental Health Inpatient Units in Queensland Australia’ (2021) 55(9) </w:t>
      </w:r>
      <w:r w:rsidR="00852255" w:rsidRPr="00060252">
        <w:rPr>
          <w:rFonts w:ascii="Calibri" w:hAnsi="Calibri" w:cs="Calibri"/>
          <w:i/>
          <w:iCs/>
          <w:sz w:val="16"/>
          <w:szCs w:val="16"/>
        </w:rPr>
        <w:t>Australian &amp; New Zealand Journal of Psychiatry</w:t>
      </w:r>
      <w:r w:rsidR="00852255" w:rsidRPr="00060252">
        <w:rPr>
          <w:rFonts w:ascii="Calibri" w:hAnsi="Calibri" w:cs="Calibri"/>
          <w:sz w:val="16"/>
          <w:szCs w:val="16"/>
        </w:rPr>
        <w:t xml:space="preserve"> 844; Henk Nijman et al, ‘Door Locking and Exit Security Measures on Acute Psychiatric Admission Wards’ (2011) 18(7) </w:t>
      </w:r>
      <w:r w:rsidR="00852255" w:rsidRPr="00060252">
        <w:rPr>
          <w:rFonts w:ascii="Calibri" w:hAnsi="Calibri" w:cs="Calibri"/>
          <w:i/>
          <w:iCs/>
          <w:sz w:val="16"/>
          <w:szCs w:val="16"/>
        </w:rPr>
        <w:t>Journal of Psychiatric and Mental Health Nursing</w:t>
      </w:r>
      <w:r w:rsidR="00852255" w:rsidRPr="00060252">
        <w:rPr>
          <w:rFonts w:ascii="Calibri" w:hAnsi="Calibri" w:cs="Calibri"/>
          <w:sz w:val="16"/>
          <w:szCs w:val="16"/>
        </w:rPr>
        <w:t xml:space="preserve"> 614; Tilman Steinert et al, ‘Open Doors in Psychiatric Hospitals: An Overview of Empirical Findings’ (2019) 90 </w:t>
      </w:r>
      <w:r w:rsidR="00852255" w:rsidRPr="00060252">
        <w:rPr>
          <w:rFonts w:ascii="Calibri" w:hAnsi="Calibri" w:cs="Calibri"/>
          <w:i/>
          <w:iCs/>
          <w:sz w:val="16"/>
          <w:szCs w:val="16"/>
        </w:rPr>
        <w:t>Der Nervenarzt</w:t>
      </w:r>
      <w:r w:rsidR="00852255" w:rsidRPr="00060252">
        <w:rPr>
          <w:rFonts w:ascii="Calibri" w:hAnsi="Calibri" w:cs="Calibri"/>
          <w:sz w:val="16"/>
          <w:szCs w:val="16"/>
        </w:rPr>
        <w:t xml:space="preserve"> 680.</w:t>
      </w:r>
      <w:r w:rsidRPr="00060252">
        <w:rPr>
          <w:sz w:val="16"/>
          <w:szCs w:val="16"/>
        </w:rPr>
        <w:fldChar w:fldCharType="end"/>
      </w:r>
    </w:p>
  </w:footnote>
  <w:footnote w:id="31">
    <w:p w14:paraId="29A51C64" w14:textId="71E19F31" w:rsidR="00092F77" w:rsidRPr="00030932" w:rsidRDefault="00092F77" w:rsidP="00092F77">
      <w:pPr>
        <w:pStyle w:val="FootnoteText"/>
        <w:rPr>
          <w:rFonts w:cstheme="minorHAnsi"/>
          <w:sz w:val="16"/>
          <w:szCs w:val="16"/>
        </w:rPr>
      </w:pPr>
      <w:r w:rsidRPr="00EB2274">
        <w:rPr>
          <w:rStyle w:val="FootnoteReference"/>
        </w:rPr>
        <w:footnoteRef/>
      </w:r>
      <w:r w:rsidRPr="00030932">
        <w:rPr>
          <w:rFonts w:cstheme="minorHAnsi"/>
          <w:sz w:val="16"/>
          <w:szCs w:val="16"/>
        </w:rPr>
        <w:t xml:space="preserve"> Section 3(1) of the Charter defines </w:t>
      </w:r>
      <w:r w:rsidR="00DE7376" w:rsidRPr="00030932">
        <w:rPr>
          <w:rFonts w:cstheme="minorHAnsi"/>
          <w:sz w:val="16"/>
          <w:szCs w:val="16"/>
        </w:rPr>
        <w:t>‘</w:t>
      </w:r>
      <w:r w:rsidRPr="00030932">
        <w:rPr>
          <w:rFonts w:cstheme="minorHAnsi"/>
          <w:sz w:val="16"/>
          <w:szCs w:val="16"/>
        </w:rPr>
        <w:t>act</w:t>
      </w:r>
      <w:r w:rsidR="00DE7376" w:rsidRPr="00030932">
        <w:rPr>
          <w:rFonts w:cstheme="minorHAnsi"/>
          <w:sz w:val="16"/>
          <w:szCs w:val="16"/>
        </w:rPr>
        <w:t>’</w:t>
      </w:r>
      <w:r w:rsidRPr="00030932">
        <w:rPr>
          <w:rFonts w:cstheme="minorHAnsi"/>
          <w:sz w:val="16"/>
          <w:szCs w:val="16"/>
        </w:rPr>
        <w:t xml:space="preserve"> as including ‘a failure to act and a proposal to act’. Section 38(1) makes it unlawful to ‘act’ in a way ‘incompatible with a human right’ and therefore includes where a failure to act is incompatible with a human right.</w:t>
      </w:r>
    </w:p>
  </w:footnote>
  <w:footnote w:id="32">
    <w:p w14:paraId="27E481B2" w14:textId="269AC118" w:rsidR="000B7A8C" w:rsidRPr="00241F73" w:rsidRDefault="000B7A8C" w:rsidP="000B7A8C">
      <w:pPr>
        <w:pStyle w:val="FootnoteText"/>
        <w:rPr>
          <w:rFonts w:cstheme="minorHAnsi"/>
          <w:sz w:val="16"/>
          <w:szCs w:val="16"/>
        </w:rPr>
      </w:pPr>
      <w:r w:rsidRPr="00EB2274">
        <w:rPr>
          <w:rStyle w:val="FootnoteReference"/>
        </w:rPr>
        <w:footnoteRef/>
      </w:r>
      <w:r w:rsidRPr="00241F73">
        <w:rPr>
          <w:rFonts w:cstheme="minorHAnsi"/>
          <w:sz w:val="16"/>
          <w:szCs w:val="16"/>
        </w:rPr>
        <w:t xml:space="preserve"> </w:t>
      </w:r>
      <w:r w:rsidR="00C234E1" w:rsidRPr="00241F73">
        <w:rPr>
          <w:rFonts w:cstheme="minorHAnsi"/>
          <w:sz w:val="16"/>
          <w:szCs w:val="16"/>
        </w:rPr>
        <w:t>Charter</w:t>
      </w:r>
      <w:r w:rsidRPr="00241F73">
        <w:rPr>
          <w:rFonts w:cstheme="minorHAnsi"/>
          <w:sz w:val="16"/>
          <w:szCs w:val="16"/>
        </w:rPr>
        <w:t xml:space="preserve"> s 4(1).</w:t>
      </w:r>
    </w:p>
  </w:footnote>
  <w:footnote w:id="33">
    <w:p w14:paraId="3E3EDF40" w14:textId="0E48E04C" w:rsidR="00092F77" w:rsidRPr="00241F73" w:rsidRDefault="00092F77" w:rsidP="00092F77">
      <w:pPr>
        <w:pStyle w:val="FootnoteText"/>
        <w:rPr>
          <w:rFonts w:cstheme="minorHAnsi"/>
          <w:sz w:val="16"/>
          <w:szCs w:val="16"/>
        </w:rPr>
      </w:pPr>
      <w:r w:rsidRPr="00EB2274">
        <w:rPr>
          <w:rStyle w:val="FootnoteReference"/>
        </w:rPr>
        <w:footnoteRef/>
      </w:r>
      <w:r w:rsidRPr="00241F73">
        <w:rPr>
          <w:rFonts w:cstheme="minorHAnsi"/>
          <w:sz w:val="16"/>
          <w:szCs w:val="16"/>
        </w:rPr>
        <w:t xml:space="preserve"> </w:t>
      </w:r>
      <w:r w:rsidR="00C234E1" w:rsidRPr="00241F73">
        <w:rPr>
          <w:rFonts w:cstheme="minorHAnsi"/>
          <w:sz w:val="16"/>
          <w:szCs w:val="16"/>
        </w:rPr>
        <w:t>Charter</w:t>
      </w:r>
      <w:r w:rsidRPr="00241F73">
        <w:rPr>
          <w:rFonts w:cstheme="minorHAnsi"/>
          <w:sz w:val="16"/>
          <w:szCs w:val="16"/>
        </w:rPr>
        <w:t xml:space="preserve"> s 38(1).</w:t>
      </w:r>
    </w:p>
  </w:footnote>
  <w:footnote w:id="34">
    <w:p w14:paraId="13A0DFF4" w14:textId="3103F34F" w:rsidR="00092F77" w:rsidRPr="00241F73" w:rsidRDefault="00092F77" w:rsidP="00092F77">
      <w:pPr>
        <w:pStyle w:val="FootnoteText"/>
        <w:rPr>
          <w:rFonts w:cstheme="minorHAnsi"/>
          <w:sz w:val="16"/>
          <w:szCs w:val="16"/>
        </w:rPr>
      </w:pPr>
      <w:r w:rsidRPr="00EB2274">
        <w:rPr>
          <w:rStyle w:val="FootnoteReference"/>
        </w:rPr>
        <w:footnoteRef/>
      </w:r>
      <w:r w:rsidRPr="00241F73">
        <w:rPr>
          <w:rFonts w:cstheme="minorHAnsi"/>
          <w:sz w:val="16"/>
          <w:szCs w:val="16"/>
        </w:rPr>
        <w:t xml:space="preserve"> </w:t>
      </w:r>
      <w:r w:rsidR="00C234E1" w:rsidRPr="00241F73">
        <w:rPr>
          <w:rFonts w:cstheme="minorHAnsi"/>
          <w:sz w:val="16"/>
          <w:szCs w:val="16"/>
        </w:rPr>
        <w:t>Charter</w:t>
      </w:r>
      <w:r w:rsidRPr="00241F73">
        <w:rPr>
          <w:rFonts w:cstheme="minorHAnsi"/>
          <w:sz w:val="16"/>
          <w:szCs w:val="16"/>
        </w:rPr>
        <w:t xml:space="preserve"> s 7(2).</w:t>
      </w:r>
    </w:p>
  </w:footnote>
  <w:footnote w:id="35">
    <w:p w14:paraId="1DBC5701" w14:textId="77777777" w:rsidR="00092F77" w:rsidRPr="00E37C29" w:rsidRDefault="00092F77" w:rsidP="00092F77">
      <w:pPr>
        <w:pStyle w:val="FootnoteText"/>
        <w:rPr>
          <w:rFonts w:cstheme="minorHAnsi"/>
          <w:color w:val="FFFFFF" w:themeColor="background1"/>
          <w:sz w:val="16"/>
          <w:szCs w:val="16"/>
        </w:rPr>
      </w:pPr>
      <w:r w:rsidRPr="00EB2274">
        <w:rPr>
          <w:rStyle w:val="FootnoteReference"/>
        </w:rPr>
        <w:footnoteRef/>
      </w:r>
      <w:r w:rsidRPr="00E37C29">
        <w:rPr>
          <w:rFonts w:cstheme="minorHAnsi"/>
          <w:color w:val="FFFFFF" w:themeColor="background1"/>
          <w:sz w:val="16"/>
          <w:szCs w:val="16"/>
        </w:rPr>
        <w:t xml:space="preserve"> </w:t>
      </w:r>
      <w:r w:rsidRPr="00E37C29">
        <w:rPr>
          <w:rFonts w:cstheme="minorHAnsi"/>
          <w:i/>
          <w:iCs/>
          <w:color w:val="FFFFFF" w:themeColor="background1"/>
          <w:sz w:val="16"/>
          <w:szCs w:val="16"/>
        </w:rPr>
        <w:t xml:space="preserve">Public Administration Act 2004 </w:t>
      </w:r>
      <w:r w:rsidRPr="00E37C29">
        <w:rPr>
          <w:rFonts w:cstheme="minorHAnsi"/>
          <w:color w:val="FFFFFF" w:themeColor="background1"/>
          <w:sz w:val="16"/>
          <w:szCs w:val="16"/>
        </w:rPr>
        <w:t>(Vic) s 7(1)(g).</w:t>
      </w:r>
    </w:p>
  </w:footnote>
  <w:footnote w:id="36">
    <w:p w14:paraId="5D628027" w14:textId="77777777" w:rsidR="00092F77" w:rsidRPr="00E37C29" w:rsidRDefault="00092F77" w:rsidP="00092F77">
      <w:pPr>
        <w:pStyle w:val="FootnoteText"/>
        <w:rPr>
          <w:rFonts w:cstheme="minorHAnsi"/>
          <w:color w:val="FFFFFF" w:themeColor="background1"/>
          <w:sz w:val="16"/>
          <w:szCs w:val="16"/>
        </w:rPr>
      </w:pPr>
      <w:r w:rsidRPr="00EB2274">
        <w:rPr>
          <w:rStyle w:val="FootnoteReference"/>
        </w:rPr>
        <w:footnoteRef/>
      </w:r>
      <w:r w:rsidRPr="00E37C29">
        <w:rPr>
          <w:rFonts w:cstheme="minorHAnsi"/>
          <w:color w:val="FFFFFF" w:themeColor="background1"/>
          <w:sz w:val="16"/>
          <w:szCs w:val="16"/>
        </w:rPr>
        <w:t xml:space="preserve"> </w:t>
      </w:r>
      <w:r w:rsidRPr="00E37C29">
        <w:rPr>
          <w:rFonts w:cstheme="minorHAnsi"/>
          <w:i/>
          <w:iCs/>
          <w:color w:val="FFFFFF" w:themeColor="background1"/>
          <w:sz w:val="16"/>
          <w:szCs w:val="16"/>
        </w:rPr>
        <w:t xml:space="preserve">Mental Health and Wellbeing Act 2022 </w:t>
      </w:r>
      <w:r w:rsidRPr="00E37C29">
        <w:rPr>
          <w:rFonts w:cstheme="minorHAnsi"/>
          <w:color w:val="FFFFFF" w:themeColor="background1"/>
          <w:sz w:val="16"/>
          <w:szCs w:val="16"/>
        </w:rPr>
        <w:t>(Vic) ss 254(f) and 261(e).</w:t>
      </w:r>
    </w:p>
  </w:footnote>
  <w:footnote w:id="37">
    <w:p w14:paraId="7C11F41B" w14:textId="77777777" w:rsidR="00E96F72" w:rsidRPr="007D5D02" w:rsidRDefault="00E96F72" w:rsidP="00E96F72">
      <w:pPr>
        <w:pStyle w:val="FootnoteText"/>
        <w:rPr>
          <w:color w:val="FFFFFF" w:themeColor="background1"/>
          <w:sz w:val="16"/>
          <w:szCs w:val="16"/>
          <w:lang w:val="en-US"/>
        </w:rPr>
      </w:pPr>
      <w:r w:rsidRPr="00EB2274">
        <w:rPr>
          <w:rStyle w:val="FootnoteReference"/>
        </w:rPr>
        <w:footnoteRef/>
      </w:r>
      <w:r w:rsidRPr="007D5D02">
        <w:rPr>
          <w:color w:val="FFFFFF" w:themeColor="background1"/>
          <w:sz w:val="16"/>
          <w:szCs w:val="16"/>
        </w:rPr>
        <w:t xml:space="preserve"> </w:t>
      </w:r>
      <w:r w:rsidRPr="007D5D02">
        <w:rPr>
          <w:color w:val="FFFFFF" w:themeColor="background1"/>
          <w:sz w:val="16"/>
          <w:szCs w:val="16"/>
        </w:rPr>
        <w:fldChar w:fldCharType="begin"/>
      </w:r>
      <w:r w:rsidRPr="007D5D02">
        <w:rPr>
          <w:color w:val="FFFFFF" w:themeColor="background1"/>
          <w:sz w:val="16"/>
          <w:szCs w:val="16"/>
        </w:rPr>
        <w:instrText xml:space="preserve"> ADDIN ZOTERO_ITEM CSL_CITATION {"citationID":"A1pCdnx8","properties":{"formattedCitation":"For example, see: Sumeyya Ilanbey, \\uc0\\u8216{}Doctors Warn Andrews Government\\uc0\\u8217{}s Mental Health Reforms Flawed and Put Lives at Risk\\uc0\\u8217{}, {\\i{}The Age} (online, 13 July 2022) &lt;https://www.theage.com.au/national/victoria/doctors-warn-andrews-government-s-mental-health-reforms-flawed-and-put-lives-at-risk-20220708-p5b039.html&gt;.","plainCitation":"For example, see: Sumeyya Ilanbey, ‘Doctors Warn Andrews Government’s Mental Health Reforms Flawed and Put Lives at Risk’, The Age (online, 13 July 2022) &lt;https://www.theage.com.au/national/victoria/doctors-warn-andrews-government-s-mental-health-reforms-flawed-and-put-lives-at-risk-20220708-p5b039.html&gt;.","noteIndex":36},"citationItems":[{"id":2166,"uris":["http://zotero.org/users/local/OLPofQUL/items/2CCV23X5"],"itemData":{"id":2166,"type":"article-newspaper","abstract":"The Australian Medical Association said the government had rushed the draft legislation and underestimates the severity of acute mental illness.","container-title":"The Age","language":"en","note":"section: Victoria","title":"Doctors warn Andrews government’s mental health reforms flawed and put lives at risk","URL":"https://www.theage.com.au/national/victoria/doctors-warn-andrews-government-s-mental-health-reforms-flawed-and-put-lives-at-risk-20220708-p5b039.html","author":[{"family":"Ilanbey","given":"Sumeyya"}],"accessed":{"date-parts":[["2023",5,23]]},"issued":{"date-parts":[["2022",7,13]]}},"label":"page","prefix":"For example, see:"}],"schema":"https://github.com/citation-style-language/schema/raw/master/csl-citation.json"} </w:instrText>
      </w:r>
      <w:r w:rsidRPr="007D5D02">
        <w:rPr>
          <w:color w:val="FFFFFF" w:themeColor="background1"/>
          <w:sz w:val="16"/>
          <w:szCs w:val="16"/>
        </w:rPr>
        <w:fldChar w:fldCharType="separate"/>
      </w:r>
      <w:r w:rsidRPr="007D5D02">
        <w:rPr>
          <w:rFonts w:ascii="Calibri" w:hAnsi="Calibri" w:cs="Calibri"/>
          <w:color w:val="FFFFFF" w:themeColor="background1"/>
          <w:sz w:val="16"/>
          <w:szCs w:val="16"/>
        </w:rPr>
        <w:t xml:space="preserve">For example, see: Sumeyya Ilanbey, ‘Doctors Warn Andrews Government’s Mental Health Reforms Flawed and Put Lives at Risk’, </w:t>
      </w:r>
      <w:r w:rsidRPr="007D5D02">
        <w:rPr>
          <w:rFonts w:ascii="Calibri" w:hAnsi="Calibri" w:cs="Calibri"/>
          <w:i/>
          <w:iCs/>
          <w:color w:val="FFFFFF" w:themeColor="background1"/>
          <w:sz w:val="16"/>
          <w:szCs w:val="16"/>
        </w:rPr>
        <w:t>The Age</w:t>
      </w:r>
      <w:r w:rsidRPr="007D5D02">
        <w:rPr>
          <w:rFonts w:ascii="Calibri" w:hAnsi="Calibri" w:cs="Calibri"/>
          <w:color w:val="FFFFFF" w:themeColor="background1"/>
          <w:sz w:val="16"/>
          <w:szCs w:val="16"/>
        </w:rPr>
        <w:t xml:space="preserve"> (online, 13 July 2022) &lt;https://www.theage.com.au/national/victoria/doctors-warn-andrews-government-s-mental-health-reforms-flawed-and-put-lives-at-risk-20220708-p5b039.html&gt;.</w:t>
      </w:r>
      <w:r w:rsidRPr="007D5D02">
        <w:rPr>
          <w:color w:val="FFFFFF" w:themeColor="background1"/>
          <w:sz w:val="16"/>
          <w:szCs w:val="16"/>
        </w:rPr>
        <w:fldChar w:fldCharType="end"/>
      </w:r>
    </w:p>
  </w:footnote>
  <w:footnote w:id="38">
    <w:p w14:paraId="57CEB10F" w14:textId="77777777" w:rsidR="00E96F72" w:rsidRPr="00C449A9" w:rsidRDefault="00E96F72" w:rsidP="00E96F72">
      <w:pPr>
        <w:pStyle w:val="FootnoteText"/>
        <w:rPr>
          <w:lang w:val="en-US"/>
        </w:rPr>
      </w:pPr>
      <w:r w:rsidRPr="00EB2274">
        <w:rPr>
          <w:rStyle w:val="FootnoteReference"/>
        </w:rPr>
        <w:footnoteRef/>
      </w:r>
      <w:r w:rsidRPr="007D5D02">
        <w:rPr>
          <w:color w:val="FFFFFF" w:themeColor="background1"/>
          <w:sz w:val="16"/>
          <w:szCs w:val="16"/>
        </w:rPr>
        <w:t xml:space="preserve"> </w:t>
      </w:r>
      <w:r w:rsidRPr="007D5D02">
        <w:rPr>
          <w:color w:val="FFFFFF" w:themeColor="background1"/>
          <w:sz w:val="16"/>
          <w:szCs w:val="16"/>
        </w:rPr>
        <w:fldChar w:fldCharType="begin"/>
      </w:r>
      <w:r w:rsidRPr="007D5D02">
        <w:rPr>
          <w:color w:val="FFFFFF" w:themeColor="background1"/>
          <w:sz w:val="16"/>
          <w:szCs w:val="16"/>
        </w:rPr>
        <w:instrText xml:space="preserve"> ADDIN ZOTERO_ITEM CSL_CITATION {"citationID":"wQ1f7zUX","properties":{"formattedCitation":"State of Victoria, \\uc0\\u8216{}Royal Commission into Victoria\\uc0\\u8217{}s Mental Health System, Volume 4: The Fundamentals for Enduring Reform\\uc0\\u8217{} (n 3) 297.","plainCitation":"State of Victoria, ‘Royal Commission into Victoria’s Mental Health System, Volume 4: The Fundamentals for Enduring Reform’ (n 3) 297.","noteIndex":37},"citationItems":[{"id":242,"uris":["http://zotero.org/users/local/OLPofQUL/items/UYQDXE84"],"itemData":{"id":242,"type":"report","number":"Parliamentary Paper no. 202, Session 2018-2021 (document 5 of 6)","publisher":"State of Victoria","title":"Royal Commission into Victoria's Mental Health System, Volume 4: The fundamentals for enduring reform","URL":"https://finalreport.rcvmhs.vic.gov.au/download-report/","author":[{"family":"State of Victoria","given":""}],"issued":{"date-parts":[["2021"]]}},"locator":"297","label":"page"}],"schema":"https://github.com/citation-style-language/schema/raw/master/csl-citation.json"} </w:instrText>
      </w:r>
      <w:r w:rsidRPr="007D5D02">
        <w:rPr>
          <w:color w:val="FFFFFF" w:themeColor="background1"/>
          <w:sz w:val="16"/>
          <w:szCs w:val="16"/>
        </w:rPr>
        <w:fldChar w:fldCharType="separate"/>
      </w:r>
      <w:r w:rsidRPr="007D5D02">
        <w:rPr>
          <w:rFonts w:ascii="Calibri" w:hAnsi="Calibri" w:cs="Calibri"/>
          <w:color w:val="FFFFFF" w:themeColor="background1"/>
          <w:sz w:val="16"/>
          <w:szCs w:val="16"/>
        </w:rPr>
        <w:t>State of Victoria, ‘Royal Commission into Victoria’s Mental Health System, Volume 4: The Fundamentals for Enduring Reform’ (n 3) 297.</w:t>
      </w:r>
      <w:r w:rsidRPr="007D5D02">
        <w:rPr>
          <w:color w:val="FFFFFF" w:themeColor="background1"/>
          <w:sz w:val="16"/>
          <w:szCs w:val="16"/>
        </w:rPr>
        <w:fldChar w:fldCharType="end"/>
      </w:r>
    </w:p>
  </w:footnote>
  <w:footnote w:id="39">
    <w:p w14:paraId="2F6B7307" w14:textId="77777777" w:rsidR="00E96F72" w:rsidRPr="00945486" w:rsidRDefault="00E96F72" w:rsidP="00E96F72">
      <w:pPr>
        <w:pStyle w:val="FootnoteText"/>
        <w:rPr>
          <w:lang w:val="en-US"/>
        </w:rPr>
      </w:pPr>
      <w:r w:rsidRPr="00EB2274">
        <w:rPr>
          <w:rStyle w:val="FootnoteReference"/>
        </w:rPr>
        <w:footnoteRef/>
      </w:r>
      <w:r w:rsidRPr="002A2E95">
        <w:rPr>
          <w:color w:val="FFFFFF" w:themeColor="background1"/>
        </w:rPr>
        <w:t xml:space="preserve"> </w:t>
      </w:r>
      <w:r w:rsidRPr="002A2E95">
        <w:rPr>
          <w:color w:val="FFFFFF" w:themeColor="background1"/>
        </w:rPr>
        <w:fldChar w:fldCharType="begin"/>
      </w:r>
      <w:r w:rsidRPr="002A2E95">
        <w:rPr>
          <w:color w:val="FFFFFF" w:themeColor="background1"/>
        </w:rPr>
        <w:instrText xml:space="preserve"> ADDIN ZOTERO_ITEM CSL_CITATION {"citationID":"OXxIoJkr","properties":{"formattedCitation":"See: Department of Health and Human Services, {\\i{}Safewards Handbook: Training and Implementation Resource for Safewards in Victoria} (2016) &lt;https://www2.health.vic.gov.au/Api/downloadmedia/%7B0255E821-8D27-4778-8985-B986C3AE8CF1%7D&gt;.","plainCitation":"See: Department of Health and Human Services, Safewards Handbook: Training and Implementation Resource for Safewards in Victoria (2016) &lt;https://www2.health.vic.gov.au/Api/downloadmedia/%7B0255E821-8D27-4778-8985-B986C3AE8CF1%7D&gt;.","noteIndex":38},"citationItems":[{"id":19,"uris":["http://zotero.org/users/local/OLPofQUL/items/76SLBSTN"],"itemData":{"id":19,"type":"report","title":"Safewards handbook: Training and implementation resource for Safewards in Victoria","URL":"https://www2.health.vic.gov.au/Api/downloadmedia/%7B0255E821-8D27-4778-8985-B986C3AE8CF1%7D","author":[{"literal":"Department of Health and Human Services"}],"issued":{"date-parts":[["2016"]]}},"label":"page","prefix":"See:"}],"schema":"https://github.com/citation-style-language/schema/raw/master/csl-citation.json"} </w:instrText>
      </w:r>
      <w:r w:rsidRPr="002A2E95">
        <w:rPr>
          <w:color w:val="FFFFFF" w:themeColor="background1"/>
        </w:rPr>
        <w:fldChar w:fldCharType="separate"/>
      </w:r>
      <w:r w:rsidRPr="002A2E95">
        <w:rPr>
          <w:rFonts w:ascii="Calibri" w:hAnsi="Calibri" w:cs="Calibri"/>
          <w:color w:val="FFFFFF" w:themeColor="background1"/>
          <w:szCs w:val="24"/>
        </w:rPr>
        <w:t xml:space="preserve">See: Department of Health and Human Services, </w:t>
      </w:r>
      <w:r w:rsidRPr="002A2E95">
        <w:rPr>
          <w:rFonts w:ascii="Calibri" w:hAnsi="Calibri" w:cs="Calibri"/>
          <w:i/>
          <w:iCs/>
          <w:color w:val="FFFFFF" w:themeColor="background1"/>
          <w:szCs w:val="24"/>
        </w:rPr>
        <w:t>Safewards Handbook: Training and Implementation Resource for Safewards in Victoria</w:t>
      </w:r>
      <w:r w:rsidRPr="002A2E95">
        <w:rPr>
          <w:rFonts w:ascii="Calibri" w:hAnsi="Calibri" w:cs="Calibri"/>
          <w:color w:val="FFFFFF" w:themeColor="background1"/>
          <w:szCs w:val="24"/>
        </w:rPr>
        <w:t xml:space="preserve"> (2016) &lt;https://www2.health.vic.gov.au/Api/downloadmedia/%7B0255E821-8D27-4778-8985-B986C3AE8CF1%7D&gt;.</w:t>
      </w:r>
      <w:r w:rsidRPr="002A2E95">
        <w:rPr>
          <w:color w:val="FFFFFF" w:themeColor="background1"/>
        </w:rPr>
        <w:fldChar w:fldCharType="end"/>
      </w:r>
    </w:p>
  </w:footnote>
  <w:footnote w:id="40">
    <w:p w14:paraId="7F381254" w14:textId="4BB92F1A" w:rsidR="00244F7F" w:rsidRPr="00030932" w:rsidRDefault="00244F7F">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Pr="00030932">
        <w:rPr>
          <w:rFonts w:cstheme="minorHAnsi"/>
          <w:sz w:val="16"/>
          <w:szCs w:val="16"/>
        </w:rPr>
        <w:fldChar w:fldCharType="begin"/>
      </w:r>
      <w:r w:rsidR="003C366D">
        <w:rPr>
          <w:rFonts w:cstheme="minorHAnsi"/>
          <w:sz w:val="16"/>
          <w:szCs w:val="16"/>
        </w:rPr>
        <w:instrText xml:space="preserve"> ADDIN ZOTERO_ITEM CSL_CITATION {"citationID":"STtbeDAK","properties":{"formattedCitation":"Victorian Public Sector Commission (n 15) 26\\uc0\\u8211{}27.","plainCitation":"Victorian Public Sector Commission (n 15) 26–27.","noteIndex":38},"citationItems":[{"id":1993,"uris":["http://zotero.org/users/local/OLPofQUL/items/YCKJJDKK"],"itemData":{"id":1993,"type":"report","publisher":"Victorian Public Sector Commission","title":"Code of Conduct for Victorian Public Sector Employees","URL":"https://vpsc.vic.gov.au/wp-content/uploads/2015/03/VPSC_Code_VPSE_WEB.pdf","author":[{"family":"Victorian Public Sector Commission","given":""}],"issued":{"date-parts":[["2015"]]}},"locator":"26-27","label":"page"}],"schema":"https://github.com/citation-style-language/schema/raw/master/csl-citation.json"} </w:instrText>
      </w:r>
      <w:r w:rsidRPr="00030932">
        <w:rPr>
          <w:rFonts w:cstheme="minorHAnsi"/>
          <w:sz w:val="16"/>
          <w:szCs w:val="16"/>
        </w:rPr>
        <w:fldChar w:fldCharType="separate"/>
      </w:r>
      <w:r w:rsidR="007032CA" w:rsidRPr="007032CA">
        <w:rPr>
          <w:rFonts w:ascii="Calibri" w:hAnsi="Calibri" w:cs="Calibri"/>
          <w:sz w:val="16"/>
          <w:szCs w:val="24"/>
        </w:rPr>
        <w:t>Victorian Public Sector Commission (n 15) 26–27.</w:t>
      </w:r>
      <w:r w:rsidRPr="00030932">
        <w:rPr>
          <w:rFonts w:cstheme="minorHAnsi"/>
          <w:sz w:val="16"/>
          <w:szCs w:val="16"/>
        </w:rPr>
        <w:fldChar w:fldCharType="end"/>
      </w:r>
    </w:p>
  </w:footnote>
  <w:footnote w:id="41">
    <w:p w14:paraId="2999F4DE" w14:textId="4E0D7461" w:rsidR="00BC495D" w:rsidRPr="00030932" w:rsidRDefault="00BC495D">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C234E1" w:rsidRPr="00030932">
        <w:rPr>
          <w:rFonts w:cstheme="minorHAnsi"/>
          <w:sz w:val="16"/>
          <w:szCs w:val="16"/>
        </w:rPr>
        <w:fldChar w:fldCharType="begin"/>
      </w:r>
      <w:r w:rsidR="00945486">
        <w:rPr>
          <w:rFonts w:cstheme="minorHAnsi"/>
          <w:sz w:val="16"/>
          <w:szCs w:val="16"/>
        </w:rPr>
        <w:instrText xml:space="preserve"> ADDIN ZOTERO_ITEM CSL_CITATION {"citationID":"A3j4lOx1","properties":{"formattedCitation":"Victorian Equal Opportunity and Human Rights Commission, {\\i{}The Charter of Human Rights and Responsibilities: A Guide for Victorian Public Sector Workers} (Victorian Equal Opportunity and Human Rights Commission, 2nd Edition, 2019) 6.","plainCitation":"Victorian Equal Opportunity and Human Rights Commission, The Charter of Human Rights and Responsibilities: A Guide for Victorian Public Sector Workers (Victorian Equal Opportunity and Human Rights Commission, 2nd Edition, 2019) 6.","noteIndex":40},"citationItems":[{"id":2049,"uris":["http://zotero.org/users/local/OLPofQUL/items/GDRITI6P"],"itemData":{"id":2049,"type":"book","edition":"2nd Edition","publisher":"Victorian Equal Opportunity and Human Rights Commission","title":"The Charter of Human Rights and Responsibilities: A guide for Victorian public sector workers","author":[{"family":"Victorian Equal Opportunity and Human Rights Commission","given":""}],"issued":{"date-parts":[["2019"]]}},"locator":"6","label":"page"}],"schema":"https://github.com/citation-style-language/schema/raw/master/csl-citation.json"} </w:instrText>
      </w:r>
      <w:r w:rsidR="00C234E1" w:rsidRPr="00030932">
        <w:rPr>
          <w:rFonts w:cstheme="minorHAnsi"/>
          <w:sz w:val="16"/>
          <w:szCs w:val="16"/>
        </w:rPr>
        <w:fldChar w:fldCharType="separate"/>
      </w:r>
      <w:r w:rsidR="00C234E1" w:rsidRPr="00030932">
        <w:rPr>
          <w:rFonts w:cstheme="minorHAnsi"/>
          <w:sz w:val="16"/>
          <w:szCs w:val="16"/>
        </w:rPr>
        <w:t xml:space="preserve">Victorian Equal Opportunity and Human Rights Commission, </w:t>
      </w:r>
      <w:r w:rsidR="00C234E1" w:rsidRPr="00030932">
        <w:rPr>
          <w:rFonts w:cstheme="minorHAnsi"/>
          <w:i/>
          <w:iCs/>
          <w:sz w:val="16"/>
          <w:szCs w:val="16"/>
        </w:rPr>
        <w:t>The Charter of Human Rights and Responsibilities: A Guide for Victorian Public Sector Workers</w:t>
      </w:r>
      <w:r w:rsidR="00C234E1" w:rsidRPr="00030932">
        <w:rPr>
          <w:rFonts w:cstheme="minorHAnsi"/>
          <w:sz w:val="16"/>
          <w:szCs w:val="16"/>
        </w:rPr>
        <w:t xml:space="preserve"> (Victorian Equal Opportunity and Human Rights Commission, 2nd Edition, 2019) 6.</w:t>
      </w:r>
      <w:r w:rsidR="00C234E1" w:rsidRPr="00030932">
        <w:rPr>
          <w:rFonts w:cstheme="minorHAnsi"/>
          <w:sz w:val="16"/>
          <w:szCs w:val="16"/>
        </w:rPr>
        <w:fldChar w:fldCharType="end"/>
      </w:r>
      <w:r w:rsidR="006F2C7D" w:rsidRPr="00030932">
        <w:rPr>
          <w:rFonts w:cstheme="minorHAnsi"/>
          <w:sz w:val="16"/>
          <w:szCs w:val="16"/>
        </w:rPr>
        <w:t xml:space="preserve"> </w:t>
      </w:r>
    </w:p>
  </w:footnote>
  <w:footnote w:id="42">
    <w:p w14:paraId="554E680E" w14:textId="1F61A04B" w:rsidR="000E0951" w:rsidRPr="00030932" w:rsidRDefault="000E0951">
      <w:pPr>
        <w:pStyle w:val="FootnoteText"/>
        <w:rPr>
          <w:rFonts w:cstheme="minorHAnsi"/>
          <w:sz w:val="16"/>
          <w:szCs w:val="16"/>
        </w:rPr>
      </w:pPr>
      <w:r w:rsidRPr="00EB2274">
        <w:rPr>
          <w:rStyle w:val="FootnoteReference"/>
        </w:rPr>
        <w:footnoteRef/>
      </w:r>
      <w:r w:rsidRPr="00030932">
        <w:rPr>
          <w:rFonts w:cstheme="minorHAnsi"/>
          <w:sz w:val="16"/>
          <w:szCs w:val="16"/>
        </w:rPr>
        <w:t xml:space="preserve"> </w:t>
      </w:r>
      <w:r w:rsidR="00C234E1" w:rsidRPr="00030932">
        <w:rPr>
          <w:rFonts w:cstheme="minorHAnsi"/>
          <w:sz w:val="16"/>
          <w:szCs w:val="16"/>
        </w:rPr>
        <w:fldChar w:fldCharType="begin"/>
      </w:r>
      <w:r w:rsidR="00945486">
        <w:rPr>
          <w:rFonts w:cstheme="minorHAnsi"/>
          <w:sz w:val="16"/>
          <w:szCs w:val="16"/>
        </w:rPr>
        <w:instrText xml:space="preserve"> ADDIN ZOTERO_ITEM CSL_CITATION {"citationID":"f3NSrM4f","properties":{"formattedCitation":"Ibid.","plainCitation":"Ibid.","noteIndex":41},"citationItems":[{"id":2049,"uris":["http://zotero.org/users/local/OLPofQUL/items/GDRITI6P"],"itemData":{"id":2049,"type":"book","edition":"2nd Edition","publisher":"Victorian Equal Opportunity and Human Rights Commission","title":"The Charter of Human Rights and Responsibilities: A guide for Victorian public sector workers","author":[{"family":"Victorian Equal Opportunity and Human Rights Commission","given":""}],"issued":{"date-parts":[["2019"]]}},"locator":"6","label":"page"}],"schema":"https://github.com/citation-style-language/schema/raw/master/csl-citation.json"} </w:instrText>
      </w:r>
      <w:r w:rsidR="00C234E1" w:rsidRPr="00030932">
        <w:rPr>
          <w:rFonts w:cstheme="minorHAnsi"/>
          <w:sz w:val="16"/>
          <w:szCs w:val="16"/>
        </w:rPr>
        <w:fldChar w:fldCharType="separate"/>
      </w:r>
      <w:r w:rsidR="00C234E1" w:rsidRPr="00030932">
        <w:rPr>
          <w:rFonts w:cstheme="minorHAnsi"/>
          <w:sz w:val="16"/>
          <w:szCs w:val="16"/>
        </w:rPr>
        <w:t>Ibid.</w:t>
      </w:r>
      <w:r w:rsidR="00C234E1" w:rsidRPr="00030932">
        <w:rPr>
          <w:rFonts w:cstheme="minorHAnsi"/>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8A9A" w14:textId="25882C6C" w:rsidR="004B1972" w:rsidRDefault="004B1972">
    <w:pPr>
      <w:pStyle w:val="Header"/>
    </w:pPr>
    <w:r w:rsidRPr="000552C6">
      <w:rPr>
        <w:noProof/>
        <w:color w:val="201547"/>
      </w:rPr>
      <mc:AlternateContent>
        <mc:Choice Requires="wps">
          <w:drawing>
            <wp:anchor distT="0" distB="0" distL="114300" distR="114300" simplePos="0" relativeHeight="251658240" behindDoc="0" locked="0" layoutInCell="1" allowOverlap="1" wp14:anchorId="1430107F" wp14:editId="01DD8587">
              <wp:simplePos x="0" y="0"/>
              <wp:positionH relativeFrom="page">
                <wp:posOffset>-69011</wp:posOffset>
              </wp:positionH>
              <wp:positionV relativeFrom="paragraph">
                <wp:posOffset>-441589</wp:posOffset>
              </wp:positionV>
              <wp:extent cx="7620539" cy="403761"/>
              <wp:effectExtent l="0" t="0" r="19050" b="15875"/>
              <wp:wrapNone/>
              <wp:docPr id="2" name="Rectangle 2"/>
              <wp:cNvGraphicFramePr/>
              <a:graphic xmlns:a="http://schemas.openxmlformats.org/drawingml/2006/main">
                <a:graphicData uri="http://schemas.microsoft.com/office/word/2010/wordprocessingShape">
                  <wps:wsp>
                    <wps:cNvSpPr/>
                    <wps:spPr>
                      <a:xfrm>
                        <a:off x="0" y="0"/>
                        <a:ext cx="7620539" cy="403761"/>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0F8997" id="Rectangle 2" o:spid="_x0000_s1026" style="position:absolute;margin-left:-5.45pt;margin-top:-34.75pt;width:600.05pt;height:3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" fillcolor="#201547" strokecolor="#1b383a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2260" w14:textId="693D7D42" w:rsidR="007509D3" w:rsidRDefault="007509D3">
    <w:pPr>
      <w:pStyle w:val="Header"/>
    </w:pPr>
    <w:r w:rsidRPr="000552C6">
      <w:rPr>
        <w:noProof/>
        <w:color w:val="201547"/>
      </w:rPr>
      <mc:AlternateContent>
        <mc:Choice Requires="wps">
          <w:drawing>
            <wp:anchor distT="0" distB="0" distL="114300" distR="114300" simplePos="0" relativeHeight="251658245" behindDoc="0" locked="0" layoutInCell="1" allowOverlap="1" wp14:anchorId="76FB3499" wp14:editId="71EB4288">
              <wp:simplePos x="0" y="0"/>
              <wp:positionH relativeFrom="page">
                <wp:posOffset>-23495</wp:posOffset>
              </wp:positionH>
              <wp:positionV relativeFrom="paragraph">
                <wp:posOffset>-467360</wp:posOffset>
              </wp:positionV>
              <wp:extent cx="7620539" cy="403761"/>
              <wp:effectExtent l="0" t="0" r="19050" b="15875"/>
              <wp:wrapNone/>
              <wp:docPr id="14" name="Rectangle 14"/>
              <wp:cNvGraphicFramePr/>
              <a:graphic xmlns:a="http://schemas.openxmlformats.org/drawingml/2006/main">
                <a:graphicData uri="http://schemas.microsoft.com/office/word/2010/wordprocessingShape">
                  <wps:wsp>
                    <wps:cNvSpPr/>
                    <wps:spPr>
                      <a:xfrm>
                        <a:off x="0" y="0"/>
                        <a:ext cx="7620539" cy="403761"/>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954BD8" id="Rectangle 14" o:spid="_x0000_s1026" style="position:absolute;margin-left:-1.85pt;margin-top:-36.8pt;width:600.05pt;height:31.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" fillcolor="#201547" strokecolor="#1b383a [1604]"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08BA" w14:textId="19E75122" w:rsidR="00CE09F7" w:rsidRDefault="00C52B08">
    <w:pPr>
      <w:pStyle w:val="Header"/>
    </w:pPr>
    <w:r w:rsidRPr="000552C6">
      <w:rPr>
        <w:noProof/>
        <w:color w:val="201547"/>
      </w:rPr>
      <mc:AlternateContent>
        <mc:Choice Requires="wps">
          <w:drawing>
            <wp:anchor distT="0" distB="0" distL="114300" distR="114300" simplePos="0" relativeHeight="251658246" behindDoc="0" locked="0" layoutInCell="1" allowOverlap="1" wp14:anchorId="5A203528" wp14:editId="521BC4EA">
              <wp:simplePos x="0" y="0"/>
              <wp:positionH relativeFrom="page">
                <wp:align>left</wp:align>
              </wp:positionH>
              <wp:positionV relativeFrom="paragraph">
                <wp:posOffset>-448323</wp:posOffset>
              </wp:positionV>
              <wp:extent cx="7620539" cy="403761"/>
              <wp:effectExtent l="0" t="0" r="19050" b="15875"/>
              <wp:wrapNone/>
              <wp:docPr id="255" name="Rectangle 255"/>
              <wp:cNvGraphicFramePr/>
              <a:graphic xmlns:a="http://schemas.openxmlformats.org/drawingml/2006/main">
                <a:graphicData uri="http://schemas.microsoft.com/office/word/2010/wordprocessingShape">
                  <wps:wsp>
                    <wps:cNvSpPr/>
                    <wps:spPr>
                      <a:xfrm>
                        <a:off x="0" y="0"/>
                        <a:ext cx="7620539" cy="403761"/>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C35EDC" id="Rectangle 255" o:spid="_x0000_s1026" style="position:absolute;margin-left:0;margin-top:-35.3pt;width:600.05pt;height:31.8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" fillcolor="#201547" strokecolor="#1b383a [1604]"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BF81" w14:textId="77777777" w:rsidR="004676BB" w:rsidRDefault="004676BB">
    <w:pPr>
      <w:pStyle w:val="Header"/>
    </w:pPr>
    <w:r w:rsidRPr="000552C6">
      <w:rPr>
        <w:noProof/>
        <w:color w:val="201547"/>
      </w:rPr>
      <mc:AlternateContent>
        <mc:Choice Requires="wps">
          <w:drawing>
            <wp:anchor distT="0" distB="0" distL="114300" distR="114300" simplePos="0" relativeHeight="251660295" behindDoc="0" locked="0" layoutInCell="1" allowOverlap="1" wp14:anchorId="7A729AEA" wp14:editId="19AE0828">
              <wp:simplePos x="0" y="0"/>
              <wp:positionH relativeFrom="page">
                <wp:align>left</wp:align>
              </wp:positionH>
              <wp:positionV relativeFrom="paragraph">
                <wp:posOffset>-448323</wp:posOffset>
              </wp:positionV>
              <wp:extent cx="7620539" cy="403761"/>
              <wp:effectExtent l="0" t="0" r="19050" b="15875"/>
              <wp:wrapNone/>
              <wp:docPr id="174639941" name="Rectangle 174639941"/>
              <wp:cNvGraphicFramePr/>
              <a:graphic xmlns:a="http://schemas.openxmlformats.org/drawingml/2006/main">
                <a:graphicData uri="http://schemas.microsoft.com/office/word/2010/wordprocessingShape">
                  <wps:wsp>
                    <wps:cNvSpPr/>
                    <wps:spPr>
                      <a:xfrm>
                        <a:off x="0" y="0"/>
                        <a:ext cx="7620539" cy="403761"/>
                      </a:xfrm>
                      <a:prstGeom prst="rect">
                        <a:avLst/>
                      </a:prstGeom>
                      <a:solidFill>
                        <a:srgbClr val="2015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F2E08C" id="Rectangle 174639941" o:spid="_x0000_s1026" style="position:absolute;margin-left:0;margin-top:-35.3pt;width:600.05pt;height:31.8pt;z-index:251660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" fillcolor="#201547" strokecolor="#1b383a [1604]"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FD92" w14:textId="77777777" w:rsidR="00CE09F7" w:rsidRDefault="00CE0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C0D6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A3D3A"/>
    <w:multiLevelType w:val="hybridMultilevel"/>
    <w:tmpl w:val="D250E6BE"/>
    <w:lvl w:ilvl="0" w:tplc="EAB0042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4728CD"/>
    <w:multiLevelType w:val="hybridMultilevel"/>
    <w:tmpl w:val="038EB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418DB"/>
    <w:multiLevelType w:val="hybridMultilevel"/>
    <w:tmpl w:val="38D2313C"/>
    <w:lvl w:ilvl="0" w:tplc="BFEC6B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2009D3"/>
    <w:multiLevelType w:val="hybridMultilevel"/>
    <w:tmpl w:val="63042666"/>
    <w:lvl w:ilvl="0" w:tplc="1BFE2FD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36D94"/>
    <w:multiLevelType w:val="hybridMultilevel"/>
    <w:tmpl w:val="7C681222"/>
    <w:lvl w:ilvl="0" w:tplc="B0B0DC3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317749"/>
    <w:multiLevelType w:val="hybridMultilevel"/>
    <w:tmpl w:val="3D7E9DEE"/>
    <w:lvl w:ilvl="0" w:tplc="106A2B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DF64D0"/>
    <w:multiLevelType w:val="hybridMultilevel"/>
    <w:tmpl w:val="96968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5876BE"/>
    <w:multiLevelType w:val="hybridMultilevel"/>
    <w:tmpl w:val="580E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93546"/>
    <w:multiLevelType w:val="hybridMultilevel"/>
    <w:tmpl w:val="12D00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9187A"/>
    <w:multiLevelType w:val="hybridMultilevel"/>
    <w:tmpl w:val="DFA2D2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477BD9"/>
    <w:multiLevelType w:val="hybridMultilevel"/>
    <w:tmpl w:val="6EF2A802"/>
    <w:lvl w:ilvl="0" w:tplc="00C6EC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B60230"/>
    <w:multiLevelType w:val="hybridMultilevel"/>
    <w:tmpl w:val="C442C360"/>
    <w:lvl w:ilvl="0" w:tplc="B0C896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C10AEB"/>
    <w:multiLevelType w:val="hybridMultilevel"/>
    <w:tmpl w:val="5AA4AE10"/>
    <w:lvl w:ilvl="0" w:tplc="BF36259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69C64D1"/>
    <w:multiLevelType w:val="hybridMultilevel"/>
    <w:tmpl w:val="F94A5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74F3C"/>
    <w:multiLevelType w:val="hybridMultilevel"/>
    <w:tmpl w:val="EAD21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CA6D78"/>
    <w:multiLevelType w:val="multilevel"/>
    <w:tmpl w:val="DEA0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EE6E85"/>
    <w:multiLevelType w:val="hybridMultilevel"/>
    <w:tmpl w:val="66544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44072"/>
    <w:multiLevelType w:val="hybridMultilevel"/>
    <w:tmpl w:val="B19A13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C92B15"/>
    <w:multiLevelType w:val="hybridMultilevel"/>
    <w:tmpl w:val="43C68BD8"/>
    <w:lvl w:ilvl="0" w:tplc="484C0B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425906"/>
    <w:multiLevelType w:val="hybridMultilevel"/>
    <w:tmpl w:val="71183AD6"/>
    <w:lvl w:ilvl="0" w:tplc="9BAA3E50">
      <w:start w:val="1"/>
      <w:numFmt w:val="decimal"/>
      <w:lvlText w:val="%1."/>
      <w:lvlJc w:val="left"/>
      <w:pPr>
        <w:ind w:left="360" w:hanging="360"/>
      </w:pPr>
      <w:rPr>
        <w:rFonts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557135"/>
    <w:multiLevelType w:val="hybridMultilevel"/>
    <w:tmpl w:val="99B0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93F4B"/>
    <w:multiLevelType w:val="hybridMultilevel"/>
    <w:tmpl w:val="05ACD468"/>
    <w:lvl w:ilvl="0" w:tplc="0C090001">
      <w:start w:val="1"/>
      <w:numFmt w:val="bullet"/>
      <w:lvlText w:val=""/>
      <w:lvlJc w:val="left"/>
      <w:pPr>
        <w:ind w:left="360" w:hanging="360"/>
      </w:pPr>
      <w:rPr>
        <w:rFonts w:ascii="Symbol" w:hAnsi="Symbol" w:hint="default"/>
        <w:sz w:val="2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93C604C"/>
    <w:multiLevelType w:val="hybridMultilevel"/>
    <w:tmpl w:val="4158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6A663D"/>
    <w:multiLevelType w:val="hybridMultilevel"/>
    <w:tmpl w:val="E4B452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3AAC182C"/>
    <w:multiLevelType w:val="hybridMultilevel"/>
    <w:tmpl w:val="AD729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F5D1037"/>
    <w:multiLevelType w:val="hybridMultilevel"/>
    <w:tmpl w:val="9A7C1B58"/>
    <w:lvl w:ilvl="0" w:tplc="817C12A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D76CA0"/>
    <w:multiLevelType w:val="hybridMultilevel"/>
    <w:tmpl w:val="F3EA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E31FA2"/>
    <w:multiLevelType w:val="hybridMultilevel"/>
    <w:tmpl w:val="8FA2A768"/>
    <w:lvl w:ilvl="0" w:tplc="9B0A4A4A">
      <w:start w:val="1"/>
      <w:numFmt w:val="decimal"/>
      <w:pStyle w:val="LHCrecommendationtex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965EA7"/>
    <w:multiLevelType w:val="hybridMultilevel"/>
    <w:tmpl w:val="F1D29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2E4905"/>
    <w:multiLevelType w:val="hybridMultilevel"/>
    <w:tmpl w:val="374CEC0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15:restartNumberingAfterBreak="0">
    <w:nsid w:val="46086834"/>
    <w:multiLevelType w:val="hybridMultilevel"/>
    <w:tmpl w:val="E62CD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03083A"/>
    <w:multiLevelType w:val="hybridMultilevel"/>
    <w:tmpl w:val="8482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140B8B"/>
    <w:multiLevelType w:val="hybridMultilevel"/>
    <w:tmpl w:val="120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06D2E"/>
    <w:multiLevelType w:val="hybridMultilevel"/>
    <w:tmpl w:val="1EF88790"/>
    <w:lvl w:ilvl="0" w:tplc="73EC95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914388"/>
    <w:multiLevelType w:val="hybridMultilevel"/>
    <w:tmpl w:val="1EF4C8B4"/>
    <w:lvl w:ilvl="0" w:tplc="45FE966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05170EE"/>
    <w:multiLevelType w:val="hybridMultilevel"/>
    <w:tmpl w:val="7F78C1DE"/>
    <w:lvl w:ilvl="0" w:tplc="5B0C67C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FF1C93"/>
    <w:multiLevelType w:val="hybridMultilevel"/>
    <w:tmpl w:val="AFE6B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894FA2"/>
    <w:multiLevelType w:val="hybridMultilevel"/>
    <w:tmpl w:val="717AE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83171B"/>
    <w:multiLevelType w:val="hybridMultilevel"/>
    <w:tmpl w:val="31501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DA4C8E"/>
    <w:multiLevelType w:val="hybridMultilevel"/>
    <w:tmpl w:val="3F8A0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5C2189"/>
    <w:multiLevelType w:val="hybridMultilevel"/>
    <w:tmpl w:val="5BA8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004D6E"/>
    <w:multiLevelType w:val="hybridMultilevel"/>
    <w:tmpl w:val="81FE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0C0E8E"/>
    <w:multiLevelType w:val="hybridMultilevel"/>
    <w:tmpl w:val="35AEC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57512D"/>
    <w:multiLevelType w:val="hybridMultilevel"/>
    <w:tmpl w:val="011ABC6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5" w15:restartNumberingAfterBreak="0">
    <w:nsid w:val="6C7922DC"/>
    <w:multiLevelType w:val="hybridMultilevel"/>
    <w:tmpl w:val="3926DB36"/>
    <w:lvl w:ilvl="0" w:tplc="0C09000F">
      <w:start w:val="1"/>
      <w:numFmt w:val="decimal"/>
      <w:lvlText w:val="%1."/>
      <w:lvlJc w:val="left"/>
      <w:pPr>
        <w:ind w:left="720" w:hanging="360"/>
      </w:pPr>
      <w:rPr>
        <w:rFonts w:hint="default"/>
      </w:rPr>
    </w:lvl>
    <w:lvl w:ilvl="1" w:tplc="626642D0">
      <w:start w:val="1"/>
      <w:numFmt w:val="lowerLetter"/>
      <w:pStyle w:val="LHCletteredsub-poin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A532BD"/>
    <w:multiLevelType w:val="hybridMultilevel"/>
    <w:tmpl w:val="6614A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437457"/>
    <w:multiLevelType w:val="hybridMultilevel"/>
    <w:tmpl w:val="42B6AD7C"/>
    <w:lvl w:ilvl="0" w:tplc="FAA8C31E">
      <w:start w:val="1"/>
      <w:numFmt w:val="decimal"/>
      <w:pStyle w:val="Report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0996732"/>
    <w:multiLevelType w:val="hybridMultilevel"/>
    <w:tmpl w:val="4998DDBE"/>
    <w:lvl w:ilvl="0" w:tplc="CE288F1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74D32328"/>
    <w:multiLevelType w:val="hybridMultilevel"/>
    <w:tmpl w:val="C7E2A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545F7D"/>
    <w:multiLevelType w:val="hybridMultilevel"/>
    <w:tmpl w:val="52F84B40"/>
    <w:lvl w:ilvl="0" w:tplc="166EFE9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A0B3AFD"/>
    <w:multiLevelType w:val="hybridMultilevel"/>
    <w:tmpl w:val="59A46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437C76"/>
    <w:multiLevelType w:val="hybridMultilevel"/>
    <w:tmpl w:val="078850E4"/>
    <w:lvl w:ilvl="0" w:tplc="886E4D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DC1CD9"/>
    <w:multiLevelType w:val="hybridMultilevel"/>
    <w:tmpl w:val="F454C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192AE2"/>
    <w:multiLevelType w:val="hybridMultilevel"/>
    <w:tmpl w:val="B45EED84"/>
    <w:lvl w:ilvl="0" w:tplc="F544D7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95781237">
    <w:abstractNumId w:val="4"/>
  </w:num>
  <w:num w:numId="2" w16cid:durableId="1850171654">
    <w:abstractNumId w:val="0"/>
  </w:num>
  <w:num w:numId="3" w16cid:durableId="1071931888">
    <w:abstractNumId w:val="47"/>
  </w:num>
  <w:num w:numId="4" w16cid:durableId="1264076259">
    <w:abstractNumId w:val="45"/>
  </w:num>
  <w:num w:numId="5" w16cid:durableId="594673695">
    <w:abstractNumId w:val="28"/>
  </w:num>
  <w:num w:numId="6" w16cid:durableId="1929726223">
    <w:abstractNumId w:val="8"/>
  </w:num>
  <w:num w:numId="7" w16cid:durableId="437678698">
    <w:abstractNumId w:val="36"/>
  </w:num>
  <w:num w:numId="8" w16cid:durableId="1558276692">
    <w:abstractNumId w:val="48"/>
  </w:num>
  <w:num w:numId="9" w16cid:durableId="821965716">
    <w:abstractNumId w:val="6"/>
  </w:num>
  <w:num w:numId="10" w16cid:durableId="2029864306">
    <w:abstractNumId w:val="41"/>
  </w:num>
  <w:num w:numId="11" w16cid:durableId="2120679475">
    <w:abstractNumId w:val="18"/>
  </w:num>
  <w:num w:numId="12" w16cid:durableId="1015114581">
    <w:abstractNumId w:val="9"/>
  </w:num>
  <w:num w:numId="13" w16cid:durableId="2091733150">
    <w:abstractNumId w:val="54"/>
  </w:num>
  <w:num w:numId="14" w16cid:durableId="1443915713">
    <w:abstractNumId w:val="35"/>
  </w:num>
  <w:num w:numId="15" w16cid:durableId="1824545233">
    <w:abstractNumId w:val="11"/>
  </w:num>
  <w:num w:numId="16" w16cid:durableId="1164666455">
    <w:abstractNumId w:val="13"/>
  </w:num>
  <w:num w:numId="17" w16cid:durableId="1345740322">
    <w:abstractNumId w:val="50"/>
  </w:num>
  <w:num w:numId="18" w16cid:durableId="759570452">
    <w:abstractNumId w:val="3"/>
  </w:num>
  <w:num w:numId="19" w16cid:durableId="1702242154">
    <w:abstractNumId w:val="34"/>
  </w:num>
  <w:num w:numId="20" w16cid:durableId="1338462397">
    <w:abstractNumId w:val="21"/>
  </w:num>
  <w:num w:numId="21" w16cid:durableId="949629211">
    <w:abstractNumId w:val="19"/>
  </w:num>
  <w:num w:numId="22" w16cid:durableId="1908219931">
    <w:abstractNumId w:val="5"/>
  </w:num>
  <w:num w:numId="23" w16cid:durableId="1084110826">
    <w:abstractNumId w:val="26"/>
  </w:num>
  <w:num w:numId="24" w16cid:durableId="1104690416">
    <w:abstractNumId w:val="1"/>
  </w:num>
  <w:num w:numId="25" w16cid:durableId="1810125225">
    <w:abstractNumId w:val="12"/>
  </w:num>
  <w:num w:numId="26" w16cid:durableId="2044865008">
    <w:abstractNumId w:val="23"/>
  </w:num>
  <w:num w:numId="27" w16cid:durableId="475614160">
    <w:abstractNumId w:val="40"/>
  </w:num>
  <w:num w:numId="28" w16cid:durableId="177354178">
    <w:abstractNumId w:val="53"/>
  </w:num>
  <w:num w:numId="29" w16cid:durableId="867253164">
    <w:abstractNumId w:val="2"/>
  </w:num>
  <w:num w:numId="30" w16cid:durableId="183173769">
    <w:abstractNumId w:val="46"/>
  </w:num>
  <w:num w:numId="31" w16cid:durableId="1226985849">
    <w:abstractNumId w:val="10"/>
  </w:num>
  <w:num w:numId="32" w16cid:durableId="1785032352">
    <w:abstractNumId w:val="25"/>
  </w:num>
  <w:num w:numId="33" w16cid:durableId="145903563">
    <w:abstractNumId w:val="37"/>
  </w:num>
  <w:num w:numId="34" w16cid:durableId="1068306066">
    <w:abstractNumId w:val="20"/>
  </w:num>
  <w:num w:numId="35" w16cid:durableId="2061587019">
    <w:abstractNumId w:val="22"/>
  </w:num>
  <w:num w:numId="36" w16cid:durableId="1735929804">
    <w:abstractNumId w:val="44"/>
  </w:num>
  <w:num w:numId="37" w16cid:durableId="371536873">
    <w:abstractNumId w:val="24"/>
  </w:num>
  <w:num w:numId="38" w16cid:durableId="1501894975">
    <w:abstractNumId w:val="27"/>
  </w:num>
  <w:num w:numId="39" w16cid:durableId="655885791">
    <w:abstractNumId w:val="49"/>
  </w:num>
  <w:num w:numId="40" w16cid:durableId="708534670">
    <w:abstractNumId w:val="42"/>
  </w:num>
  <w:num w:numId="41" w16cid:durableId="889614167">
    <w:abstractNumId w:val="14"/>
  </w:num>
  <w:num w:numId="42" w16cid:durableId="419454259">
    <w:abstractNumId w:val="17"/>
  </w:num>
  <w:num w:numId="43" w16cid:durableId="845483871">
    <w:abstractNumId w:val="39"/>
  </w:num>
  <w:num w:numId="44" w16cid:durableId="1610160511">
    <w:abstractNumId w:val="33"/>
  </w:num>
  <w:num w:numId="45" w16cid:durableId="301469814">
    <w:abstractNumId w:val="30"/>
  </w:num>
  <w:num w:numId="46" w16cid:durableId="557975964">
    <w:abstractNumId w:val="52"/>
  </w:num>
  <w:num w:numId="47" w16cid:durableId="1112044466">
    <w:abstractNumId w:val="31"/>
  </w:num>
  <w:num w:numId="48" w16cid:durableId="680469376">
    <w:abstractNumId w:val="15"/>
  </w:num>
  <w:num w:numId="49" w16cid:durableId="206575065">
    <w:abstractNumId w:val="43"/>
  </w:num>
  <w:num w:numId="50" w16cid:durableId="282462176">
    <w:abstractNumId w:val="32"/>
  </w:num>
  <w:num w:numId="51" w16cid:durableId="385682095">
    <w:abstractNumId w:val="51"/>
  </w:num>
  <w:num w:numId="52" w16cid:durableId="1002390070">
    <w:abstractNumId w:val="38"/>
  </w:num>
  <w:num w:numId="53" w16cid:durableId="1344480823">
    <w:abstractNumId w:val="29"/>
  </w:num>
  <w:num w:numId="54" w16cid:durableId="890533992">
    <w:abstractNumId w:val="7"/>
  </w:num>
  <w:num w:numId="55" w16cid:durableId="156502588">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xMjYxNDS2MDA3MDJW0lEKTi0uzszPAykwNqsFAOVaiR4tAAAA"/>
  </w:docVars>
  <w:rsids>
    <w:rsidRoot w:val="004B1972"/>
    <w:rsid w:val="0000067C"/>
    <w:rsid w:val="00000BD4"/>
    <w:rsid w:val="0000145F"/>
    <w:rsid w:val="0000174D"/>
    <w:rsid w:val="00001D8A"/>
    <w:rsid w:val="000024C9"/>
    <w:rsid w:val="00002509"/>
    <w:rsid w:val="00002C8B"/>
    <w:rsid w:val="00002CB9"/>
    <w:rsid w:val="000030FD"/>
    <w:rsid w:val="0000316C"/>
    <w:rsid w:val="00003367"/>
    <w:rsid w:val="000034BA"/>
    <w:rsid w:val="00003547"/>
    <w:rsid w:val="00003880"/>
    <w:rsid w:val="00003DC8"/>
    <w:rsid w:val="000051B0"/>
    <w:rsid w:val="00005413"/>
    <w:rsid w:val="00005668"/>
    <w:rsid w:val="0000568B"/>
    <w:rsid w:val="00005DB1"/>
    <w:rsid w:val="000068BF"/>
    <w:rsid w:val="00007374"/>
    <w:rsid w:val="000107C4"/>
    <w:rsid w:val="00010840"/>
    <w:rsid w:val="00010927"/>
    <w:rsid w:val="00010DC5"/>
    <w:rsid w:val="00011282"/>
    <w:rsid w:val="000112D9"/>
    <w:rsid w:val="00011D76"/>
    <w:rsid w:val="00011EB9"/>
    <w:rsid w:val="00012054"/>
    <w:rsid w:val="00012650"/>
    <w:rsid w:val="00012A6E"/>
    <w:rsid w:val="00012DBA"/>
    <w:rsid w:val="00012F3C"/>
    <w:rsid w:val="00013198"/>
    <w:rsid w:val="00013457"/>
    <w:rsid w:val="00013498"/>
    <w:rsid w:val="00014768"/>
    <w:rsid w:val="00014A74"/>
    <w:rsid w:val="00014B85"/>
    <w:rsid w:val="00014E0E"/>
    <w:rsid w:val="000156C1"/>
    <w:rsid w:val="00015E62"/>
    <w:rsid w:val="0001674D"/>
    <w:rsid w:val="00016FC1"/>
    <w:rsid w:val="000175A5"/>
    <w:rsid w:val="0001782B"/>
    <w:rsid w:val="00017C60"/>
    <w:rsid w:val="00017E0E"/>
    <w:rsid w:val="000204A0"/>
    <w:rsid w:val="00021098"/>
    <w:rsid w:val="00021187"/>
    <w:rsid w:val="00021503"/>
    <w:rsid w:val="0002156B"/>
    <w:rsid w:val="000216FF"/>
    <w:rsid w:val="000217A5"/>
    <w:rsid w:val="00022296"/>
    <w:rsid w:val="000222D2"/>
    <w:rsid w:val="000225BF"/>
    <w:rsid w:val="0002325C"/>
    <w:rsid w:val="000232B9"/>
    <w:rsid w:val="000238D8"/>
    <w:rsid w:val="00023925"/>
    <w:rsid w:val="00023B46"/>
    <w:rsid w:val="000243A2"/>
    <w:rsid w:val="000245B4"/>
    <w:rsid w:val="000248D8"/>
    <w:rsid w:val="00024AFD"/>
    <w:rsid w:val="000253B9"/>
    <w:rsid w:val="00025657"/>
    <w:rsid w:val="00025A42"/>
    <w:rsid w:val="00026027"/>
    <w:rsid w:val="00026308"/>
    <w:rsid w:val="00026663"/>
    <w:rsid w:val="00026881"/>
    <w:rsid w:val="00026CAA"/>
    <w:rsid w:val="000279F8"/>
    <w:rsid w:val="000307A0"/>
    <w:rsid w:val="00030932"/>
    <w:rsid w:val="00030998"/>
    <w:rsid w:val="00030C48"/>
    <w:rsid w:val="00030FBF"/>
    <w:rsid w:val="0003145C"/>
    <w:rsid w:val="00031514"/>
    <w:rsid w:val="00031525"/>
    <w:rsid w:val="00031AD1"/>
    <w:rsid w:val="00031F55"/>
    <w:rsid w:val="00032937"/>
    <w:rsid w:val="00032E18"/>
    <w:rsid w:val="0003317B"/>
    <w:rsid w:val="00033328"/>
    <w:rsid w:val="00033830"/>
    <w:rsid w:val="00033DD9"/>
    <w:rsid w:val="000340D5"/>
    <w:rsid w:val="00034822"/>
    <w:rsid w:val="00035190"/>
    <w:rsid w:val="00035312"/>
    <w:rsid w:val="00035332"/>
    <w:rsid w:val="000355ED"/>
    <w:rsid w:val="00035E53"/>
    <w:rsid w:val="000363E8"/>
    <w:rsid w:val="000369BB"/>
    <w:rsid w:val="00036A61"/>
    <w:rsid w:val="0003716E"/>
    <w:rsid w:val="0004002B"/>
    <w:rsid w:val="00040902"/>
    <w:rsid w:val="000412AE"/>
    <w:rsid w:val="000414AD"/>
    <w:rsid w:val="0004158D"/>
    <w:rsid w:val="00041BE0"/>
    <w:rsid w:val="0004216C"/>
    <w:rsid w:val="0004268D"/>
    <w:rsid w:val="000429FD"/>
    <w:rsid w:val="000439CB"/>
    <w:rsid w:val="00044251"/>
    <w:rsid w:val="000447C5"/>
    <w:rsid w:val="000449D4"/>
    <w:rsid w:val="00044C41"/>
    <w:rsid w:val="00044ECC"/>
    <w:rsid w:val="000450E5"/>
    <w:rsid w:val="000452C1"/>
    <w:rsid w:val="00045481"/>
    <w:rsid w:val="00045F74"/>
    <w:rsid w:val="000463F8"/>
    <w:rsid w:val="0004692C"/>
    <w:rsid w:val="00047154"/>
    <w:rsid w:val="00047518"/>
    <w:rsid w:val="0004762D"/>
    <w:rsid w:val="000477FE"/>
    <w:rsid w:val="00047B4E"/>
    <w:rsid w:val="00047D2D"/>
    <w:rsid w:val="000501A4"/>
    <w:rsid w:val="00050A39"/>
    <w:rsid w:val="00050D37"/>
    <w:rsid w:val="000513D0"/>
    <w:rsid w:val="00051ADC"/>
    <w:rsid w:val="00051CB0"/>
    <w:rsid w:val="000529FD"/>
    <w:rsid w:val="00052DD6"/>
    <w:rsid w:val="000536CE"/>
    <w:rsid w:val="000545C2"/>
    <w:rsid w:val="00054A97"/>
    <w:rsid w:val="00054E7D"/>
    <w:rsid w:val="000551ED"/>
    <w:rsid w:val="000552C6"/>
    <w:rsid w:val="00055486"/>
    <w:rsid w:val="00055A05"/>
    <w:rsid w:val="00055E23"/>
    <w:rsid w:val="00055F25"/>
    <w:rsid w:val="00055F35"/>
    <w:rsid w:val="0005665C"/>
    <w:rsid w:val="000578FB"/>
    <w:rsid w:val="00060252"/>
    <w:rsid w:val="00060390"/>
    <w:rsid w:val="0006074D"/>
    <w:rsid w:val="00060909"/>
    <w:rsid w:val="000616E7"/>
    <w:rsid w:val="000618FB"/>
    <w:rsid w:val="00062009"/>
    <w:rsid w:val="000620FE"/>
    <w:rsid w:val="000627FD"/>
    <w:rsid w:val="00062A30"/>
    <w:rsid w:val="00062D55"/>
    <w:rsid w:val="0006317A"/>
    <w:rsid w:val="000634FF"/>
    <w:rsid w:val="000638C1"/>
    <w:rsid w:val="000639F0"/>
    <w:rsid w:val="00063AC6"/>
    <w:rsid w:val="00063D92"/>
    <w:rsid w:val="00064C60"/>
    <w:rsid w:val="00065023"/>
    <w:rsid w:val="00065137"/>
    <w:rsid w:val="00065219"/>
    <w:rsid w:val="00065559"/>
    <w:rsid w:val="00066A46"/>
    <w:rsid w:val="000672B8"/>
    <w:rsid w:val="00067513"/>
    <w:rsid w:val="000676B2"/>
    <w:rsid w:val="00067E67"/>
    <w:rsid w:val="00067EF0"/>
    <w:rsid w:val="0007027E"/>
    <w:rsid w:val="000707C3"/>
    <w:rsid w:val="00070A45"/>
    <w:rsid w:val="00070A4D"/>
    <w:rsid w:val="00070E14"/>
    <w:rsid w:val="0007102D"/>
    <w:rsid w:val="000712B7"/>
    <w:rsid w:val="00071E14"/>
    <w:rsid w:val="00072BFB"/>
    <w:rsid w:val="000739E6"/>
    <w:rsid w:val="00073A89"/>
    <w:rsid w:val="00073CB8"/>
    <w:rsid w:val="00074374"/>
    <w:rsid w:val="000743F4"/>
    <w:rsid w:val="00074455"/>
    <w:rsid w:val="000745F3"/>
    <w:rsid w:val="00075053"/>
    <w:rsid w:val="0007694E"/>
    <w:rsid w:val="00076DF1"/>
    <w:rsid w:val="00077882"/>
    <w:rsid w:val="00077909"/>
    <w:rsid w:val="00077B0A"/>
    <w:rsid w:val="00077BEA"/>
    <w:rsid w:val="0008040B"/>
    <w:rsid w:val="00080E29"/>
    <w:rsid w:val="00081905"/>
    <w:rsid w:val="00081983"/>
    <w:rsid w:val="00081AE3"/>
    <w:rsid w:val="00081EFC"/>
    <w:rsid w:val="00082001"/>
    <w:rsid w:val="0008218A"/>
    <w:rsid w:val="00082228"/>
    <w:rsid w:val="00082772"/>
    <w:rsid w:val="00082EA0"/>
    <w:rsid w:val="00082EAB"/>
    <w:rsid w:val="00082F79"/>
    <w:rsid w:val="000831F0"/>
    <w:rsid w:val="000833CC"/>
    <w:rsid w:val="00083C58"/>
    <w:rsid w:val="00083EE1"/>
    <w:rsid w:val="000842D8"/>
    <w:rsid w:val="00084365"/>
    <w:rsid w:val="000844E2"/>
    <w:rsid w:val="00084539"/>
    <w:rsid w:val="0008480C"/>
    <w:rsid w:val="00084B58"/>
    <w:rsid w:val="00084BE5"/>
    <w:rsid w:val="00084D7D"/>
    <w:rsid w:val="00084F0F"/>
    <w:rsid w:val="00085056"/>
    <w:rsid w:val="0008525D"/>
    <w:rsid w:val="00085495"/>
    <w:rsid w:val="0008629D"/>
    <w:rsid w:val="00086590"/>
    <w:rsid w:val="00086615"/>
    <w:rsid w:val="000867C5"/>
    <w:rsid w:val="0008727D"/>
    <w:rsid w:val="00087C5A"/>
    <w:rsid w:val="00090279"/>
    <w:rsid w:val="00090502"/>
    <w:rsid w:val="000905B3"/>
    <w:rsid w:val="00090647"/>
    <w:rsid w:val="00090B53"/>
    <w:rsid w:val="00090BC4"/>
    <w:rsid w:val="00090EA1"/>
    <w:rsid w:val="00091271"/>
    <w:rsid w:val="0009133C"/>
    <w:rsid w:val="0009146A"/>
    <w:rsid w:val="00091FB6"/>
    <w:rsid w:val="000922BA"/>
    <w:rsid w:val="000924FA"/>
    <w:rsid w:val="00092729"/>
    <w:rsid w:val="00092F77"/>
    <w:rsid w:val="00093355"/>
    <w:rsid w:val="00093A00"/>
    <w:rsid w:val="00093C43"/>
    <w:rsid w:val="00093C51"/>
    <w:rsid w:val="0009443A"/>
    <w:rsid w:val="000948C6"/>
    <w:rsid w:val="00094A89"/>
    <w:rsid w:val="00094F3F"/>
    <w:rsid w:val="00095144"/>
    <w:rsid w:val="000956CD"/>
    <w:rsid w:val="00095948"/>
    <w:rsid w:val="0009654F"/>
    <w:rsid w:val="0009656C"/>
    <w:rsid w:val="00096B59"/>
    <w:rsid w:val="000976BB"/>
    <w:rsid w:val="00097903"/>
    <w:rsid w:val="00097A12"/>
    <w:rsid w:val="000A0102"/>
    <w:rsid w:val="000A08BF"/>
    <w:rsid w:val="000A0BCC"/>
    <w:rsid w:val="000A2265"/>
    <w:rsid w:val="000A2470"/>
    <w:rsid w:val="000A2499"/>
    <w:rsid w:val="000A257B"/>
    <w:rsid w:val="000A304E"/>
    <w:rsid w:val="000A39DC"/>
    <w:rsid w:val="000A3EDF"/>
    <w:rsid w:val="000A3F61"/>
    <w:rsid w:val="000A4215"/>
    <w:rsid w:val="000A4CB9"/>
    <w:rsid w:val="000A5067"/>
    <w:rsid w:val="000A6419"/>
    <w:rsid w:val="000A6698"/>
    <w:rsid w:val="000A697D"/>
    <w:rsid w:val="000A6CE1"/>
    <w:rsid w:val="000A6E4A"/>
    <w:rsid w:val="000A76DC"/>
    <w:rsid w:val="000A78F0"/>
    <w:rsid w:val="000A7B05"/>
    <w:rsid w:val="000A7E52"/>
    <w:rsid w:val="000B0EE8"/>
    <w:rsid w:val="000B0F28"/>
    <w:rsid w:val="000B1318"/>
    <w:rsid w:val="000B14AB"/>
    <w:rsid w:val="000B1572"/>
    <w:rsid w:val="000B168F"/>
    <w:rsid w:val="000B16D9"/>
    <w:rsid w:val="000B17F1"/>
    <w:rsid w:val="000B2DAB"/>
    <w:rsid w:val="000B30C8"/>
    <w:rsid w:val="000B3919"/>
    <w:rsid w:val="000B3CBF"/>
    <w:rsid w:val="000B3F7A"/>
    <w:rsid w:val="000B42FD"/>
    <w:rsid w:val="000B493A"/>
    <w:rsid w:val="000B53E2"/>
    <w:rsid w:val="000B5CFA"/>
    <w:rsid w:val="000B5D01"/>
    <w:rsid w:val="000B6076"/>
    <w:rsid w:val="000B634A"/>
    <w:rsid w:val="000B6376"/>
    <w:rsid w:val="000B64AB"/>
    <w:rsid w:val="000B652D"/>
    <w:rsid w:val="000B6572"/>
    <w:rsid w:val="000B6B2B"/>
    <w:rsid w:val="000B6C17"/>
    <w:rsid w:val="000B7536"/>
    <w:rsid w:val="000B77C7"/>
    <w:rsid w:val="000B7A8C"/>
    <w:rsid w:val="000C021F"/>
    <w:rsid w:val="000C050D"/>
    <w:rsid w:val="000C077E"/>
    <w:rsid w:val="000C150E"/>
    <w:rsid w:val="000C1695"/>
    <w:rsid w:val="000C191C"/>
    <w:rsid w:val="000C21B2"/>
    <w:rsid w:val="000C2C1B"/>
    <w:rsid w:val="000C3A16"/>
    <w:rsid w:val="000C487B"/>
    <w:rsid w:val="000C49E6"/>
    <w:rsid w:val="000C4C5D"/>
    <w:rsid w:val="000C4ED6"/>
    <w:rsid w:val="000C5447"/>
    <w:rsid w:val="000C5498"/>
    <w:rsid w:val="000C59B3"/>
    <w:rsid w:val="000C60C5"/>
    <w:rsid w:val="000C6ABE"/>
    <w:rsid w:val="000C6C44"/>
    <w:rsid w:val="000C6C4E"/>
    <w:rsid w:val="000C6DB9"/>
    <w:rsid w:val="000C6E77"/>
    <w:rsid w:val="000C6EE7"/>
    <w:rsid w:val="000C718B"/>
    <w:rsid w:val="000C735C"/>
    <w:rsid w:val="000C7BE5"/>
    <w:rsid w:val="000D1FA6"/>
    <w:rsid w:val="000D32E5"/>
    <w:rsid w:val="000D3D73"/>
    <w:rsid w:val="000D4A8F"/>
    <w:rsid w:val="000D4BBE"/>
    <w:rsid w:val="000D5245"/>
    <w:rsid w:val="000D525B"/>
    <w:rsid w:val="000D5BCB"/>
    <w:rsid w:val="000D6625"/>
    <w:rsid w:val="000D6D3D"/>
    <w:rsid w:val="000D6DE8"/>
    <w:rsid w:val="000D702A"/>
    <w:rsid w:val="000D795A"/>
    <w:rsid w:val="000E0248"/>
    <w:rsid w:val="000E0681"/>
    <w:rsid w:val="000E0951"/>
    <w:rsid w:val="000E0D4D"/>
    <w:rsid w:val="000E0DD2"/>
    <w:rsid w:val="000E0FCD"/>
    <w:rsid w:val="000E11C1"/>
    <w:rsid w:val="000E16C7"/>
    <w:rsid w:val="000E1887"/>
    <w:rsid w:val="000E1C63"/>
    <w:rsid w:val="000E2034"/>
    <w:rsid w:val="000E35BB"/>
    <w:rsid w:val="000E3A6C"/>
    <w:rsid w:val="000E3F75"/>
    <w:rsid w:val="000E44C8"/>
    <w:rsid w:val="000E4693"/>
    <w:rsid w:val="000E4F08"/>
    <w:rsid w:val="000E5F5A"/>
    <w:rsid w:val="000E5FBD"/>
    <w:rsid w:val="000E60A2"/>
    <w:rsid w:val="000E697A"/>
    <w:rsid w:val="000E72DB"/>
    <w:rsid w:val="000E74AB"/>
    <w:rsid w:val="000E7517"/>
    <w:rsid w:val="000F0099"/>
    <w:rsid w:val="000F0123"/>
    <w:rsid w:val="000F060C"/>
    <w:rsid w:val="000F076E"/>
    <w:rsid w:val="000F0775"/>
    <w:rsid w:val="000F07B0"/>
    <w:rsid w:val="000F0D72"/>
    <w:rsid w:val="000F129B"/>
    <w:rsid w:val="000F132E"/>
    <w:rsid w:val="000F199B"/>
    <w:rsid w:val="000F1F9B"/>
    <w:rsid w:val="000F21A8"/>
    <w:rsid w:val="000F22F6"/>
    <w:rsid w:val="000F2370"/>
    <w:rsid w:val="000F2435"/>
    <w:rsid w:val="000F28E1"/>
    <w:rsid w:val="000F2A3D"/>
    <w:rsid w:val="000F2E6E"/>
    <w:rsid w:val="000F3B5B"/>
    <w:rsid w:val="000F3C28"/>
    <w:rsid w:val="000F4098"/>
    <w:rsid w:val="000F42CD"/>
    <w:rsid w:val="000F4DFD"/>
    <w:rsid w:val="000F4F61"/>
    <w:rsid w:val="000F501A"/>
    <w:rsid w:val="000F5119"/>
    <w:rsid w:val="000F51B8"/>
    <w:rsid w:val="000F52DF"/>
    <w:rsid w:val="000F5606"/>
    <w:rsid w:val="000F5620"/>
    <w:rsid w:val="000F632C"/>
    <w:rsid w:val="000F6339"/>
    <w:rsid w:val="000F63EF"/>
    <w:rsid w:val="000F65B2"/>
    <w:rsid w:val="000F6B03"/>
    <w:rsid w:val="000F6F73"/>
    <w:rsid w:val="000F7171"/>
    <w:rsid w:val="000F72F4"/>
    <w:rsid w:val="000F7713"/>
    <w:rsid w:val="000F7BA9"/>
    <w:rsid w:val="001001AB"/>
    <w:rsid w:val="00100207"/>
    <w:rsid w:val="001004BB"/>
    <w:rsid w:val="00100651"/>
    <w:rsid w:val="00100784"/>
    <w:rsid w:val="00100BEC"/>
    <w:rsid w:val="001012D5"/>
    <w:rsid w:val="00101C5C"/>
    <w:rsid w:val="00101ECF"/>
    <w:rsid w:val="00101F9D"/>
    <w:rsid w:val="001023F0"/>
    <w:rsid w:val="00102D46"/>
    <w:rsid w:val="0010478B"/>
    <w:rsid w:val="00104869"/>
    <w:rsid w:val="001049AE"/>
    <w:rsid w:val="00104F49"/>
    <w:rsid w:val="00105210"/>
    <w:rsid w:val="0010550F"/>
    <w:rsid w:val="00105922"/>
    <w:rsid w:val="00105D53"/>
    <w:rsid w:val="001060D7"/>
    <w:rsid w:val="001063CE"/>
    <w:rsid w:val="00106842"/>
    <w:rsid w:val="00106C18"/>
    <w:rsid w:val="001075F7"/>
    <w:rsid w:val="001077BC"/>
    <w:rsid w:val="00107CE9"/>
    <w:rsid w:val="00110B46"/>
    <w:rsid w:val="00110ECE"/>
    <w:rsid w:val="00111600"/>
    <w:rsid w:val="00111787"/>
    <w:rsid w:val="001128C2"/>
    <w:rsid w:val="00112965"/>
    <w:rsid w:val="00112DFE"/>
    <w:rsid w:val="001131D7"/>
    <w:rsid w:val="001132F7"/>
    <w:rsid w:val="0011340B"/>
    <w:rsid w:val="0011374B"/>
    <w:rsid w:val="00113788"/>
    <w:rsid w:val="001138B1"/>
    <w:rsid w:val="00113C06"/>
    <w:rsid w:val="00113E1B"/>
    <w:rsid w:val="001141C8"/>
    <w:rsid w:val="001148AF"/>
    <w:rsid w:val="00114ED3"/>
    <w:rsid w:val="00114FF0"/>
    <w:rsid w:val="00115D27"/>
    <w:rsid w:val="00115D6F"/>
    <w:rsid w:val="001161CA"/>
    <w:rsid w:val="001162DE"/>
    <w:rsid w:val="00116322"/>
    <w:rsid w:val="00116C6B"/>
    <w:rsid w:val="00117CD0"/>
    <w:rsid w:val="001205B7"/>
    <w:rsid w:val="0012109A"/>
    <w:rsid w:val="00121761"/>
    <w:rsid w:val="00121969"/>
    <w:rsid w:val="00121B57"/>
    <w:rsid w:val="00122793"/>
    <w:rsid w:val="001228A4"/>
    <w:rsid w:val="00122986"/>
    <w:rsid w:val="0012340B"/>
    <w:rsid w:val="00123528"/>
    <w:rsid w:val="00123B24"/>
    <w:rsid w:val="00123B52"/>
    <w:rsid w:val="00123C44"/>
    <w:rsid w:val="00123F4D"/>
    <w:rsid w:val="001240E8"/>
    <w:rsid w:val="001245C2"/>
    <w:rsid w:val="00124F05"/>
    <w:rsid w:val="0012524B"/>
    <w:rsid w:val="00126183"/>
    <w:rsid w:val="00126C2F"/>
    <w:rsid w:val="00127098"/>
    <w:rsid w:val="00127703"/>
    <w:rsid w:val="00127A5E"/>
    <w:rsid w:val="00127B8C"/>
    <w:rsid w:val="00127C89"/>
    <w:rsid w:val="0013024B"/>
    <w:rsid w:val="00130312"/>
    <w:rsid w:val="00130F3D"/>
    <w:rsid w:val="001312DE"/>
    <w:rsid w:val="00131591"/>
    <w:rsid w:val="00131B8E"/>
    <w:rsid w:val="00132711"/>
    <w:rsid w:val="00132AEF"/>
    <w:rsid w:val="00132BE5"/>
    <w:rsid w:val="00133061"/>
    <w:rsid w:val="00133216"/>
    <w:rsid w:val="0013355C"/>
    <w:rsid w:val="00133745"/>
    <w:rsid w:val="00133DCB"/>
    <w:rsid w:val="00133EDC"/>
    <w:rsid w:val="0013467C"/>
    <w:rsid w:val="00134A6D"/>
    <w:rsid w:val="0013605B"/>
    <w:rsid w:val="00136282"/>
    <w:rsid w:val="00136B09"/>
    <w:rsid w:val="00136C49"/>
    <w:rsid w:val="00140718"/>
    <w:rsid w:val="001413F1"/>
    <w:rsid w:val="001413FF"/>
    <w:rsid w:val="00142B46"/>
    <w:rsid w:val="00142DBC"/>
    <w:rsid w:val="00143098"/>
    <w:rsid w:val="001431F7"/>
    <w:rsid w:val="00143545"/>
    <w:rsid w:val="00143B4D"/>
    <w:rsid w:val="00143FB1"/>
    <w:rsid w:val="00144697"/>
    <w:rsid w:val="001454AB"/>
    <w:rsid w:val="0014567C"/>
    <w:rsid w:val="0014583F"/>
    <w:rsid w:val="001458BC"/>
    <w:rsid w:val="00145A81"/>
    <w:rsid w:val="00146D4F"/>
    <w:rsid w:val="00146E64"/>
    <w:rsid w:val="00147284"/>
    <w:rsid w:val="00147508"/>
    <w:rsid w:val="00147814"/>
    <w:rsid w:val="00147EF1"/>
    <w:rsid w:val="001505E3"/>
    <w:rsid w:val="001508AE"/>
    <w:rsid w:val="00150E8E"/>
    <w:rsid w:val="0015196A"/>
    <w:rsid w:val="00151C65"/>
    <w:rsid w:val="00151F94"/>
    <w:rsid w:val="00152171"/>
    <w:rsid w:val="001529B5"/>
    <w:rsid w:val="00152EEE"/>
    <w:rsid w:val="00152F01"/>
    <w:rsid w:val="001530BF"/>
    <w:rsid w:val="00153605"/>
    <w:rsid w:val="00153AB8"/>
    <w:rsid w:val="00153F42"/>
    <w:rsid w:val="00154063"/>
    <w:rsid w:val="00154DF2"/>
    <w:rsid w:val="00155051"/>
    <w:rsid w:val="001550F5"/>
    <w:rsid w:val="0015513B"/>
    <w:rsid w:val="00155298"/>
    <w:rsid w:val="00155376"/>
    <w:rsid w:val="00156233"/>
    <w:rsid w:val="0015658B"/>
    <w:rsid w:val="001565DE"/>
    <w:rsid w:val="0015668F"/>
    <w:rsid w:val="00156ED5"/>
    <w:rsid w:val="00157078"/>
    <w:rsid w:val="00157136"/>
    <w:rsid w:val="00157946"/>
    <w:rsid w:val="00157DA9"/>
    <w:rsid w:val="0016020A"/>
    <w:rsid w:val="001606AA"/>
    <w:rsid w:val="00160A36"/>
    <w:rsid w:val="00161678"/>
    <w:rsid w:val="00162655"/>
    <w:rsid w:val="0016291E"/>
    <w:rsid w:val="00162BCD"/>
    <w:rsid w:val="00162F8F"/>
    <w:rsid w:val="001630A7"/>
    <w:rsid w:val="00163117"/>
    <w:rsid w:val="00163EE3"/>
    <w:rsid w:val="0016418C"/>
    <w:rsid w:val="00164221"/>
    <w:rsid w:val="001643F0"/>
    <w:rsid w:val="0016494B"/>
    <w:rsid w:val="00164FD9"/>
    <w:rsid w:val="00165192"/>
    <w:rsid w:val="00165BBF"/>
    <w:rsid w:val="00165CF8"/>
    <w:rsid w:val="00166887"/>
    <w:rsid w:val="00166CE2"/>
    <w:rsid w:val="0016737B"/>
    <w:rsid w:val="00167979"/>
    <w:rsid w:val="0017031C"/>
    <w:rsid w:val="001704AA"/>
    <w:rsid w:val="0017082C"/>
    <w:rsid w:val="0017103F"/>
    <w:rsid w:val="001712A3"/>
    <w:rsid w:val="00172AC5"/>
    <w:rsid w:val="00173D7D"/>
    <w:rsid w:val="001745EE"/>
    <w:rsid w:val="001745FA"/>
    <w:rsid w:val="00174E90"/>
    <w:rsid w:val="001751DA"/>
    <w:rsid w:val="00175AFA"/>
    <w:rsid w:val="00176599"/>
    <w:rsid w:val="001765A9"/>
    <w:rsid w:val="00177381"/>
    <w:rsid w:val="001773B0"/>
    <w:rsid w:val="00180167"/>
    <w:rsid w:val="00180AFE"/>
    <w:rsid w:val="00180D97"/>
    <w:rsid w:val="00180EF0"/>
    <w:rsid w:val="001815A2"/>
    <w:rsid w:val="00181674"/>
    <w:rsid w:val="001818E7"/>
    <w:rsid w:val="00181D3E"/>
    <w:rsid w:val="00182127"/>
    <w:rsid w:val="00182442"/>
    <w:rsid w:val="00182645"/>
    <w:rsid w:val="001830A8"/>
    <w:rsid w:val="001833C2"/>
    <w:rsid w:val="0018414E"/>
    <w:rsid w:val="00184DBF"/>
    <w:rsid w:val="00184E96"/>
    <w:rsid w:val="00184F3A"/>
    <w:rsid w:val="00185161"/>
    <w:rsid w:val="001856FB"/>
    <w:rsid w:val="0018603F"/>
    <w:rsid w:val="00186B2D"/>
    <w:rsid w:val="00186D5A"/>
    <w:rsid w:val="00186ECE"/>
    <w:rsid w:val="001870E9"/>
    <w:rsid w:val="001877FC"/>
    <w:rsid w:val="00187AC2"/>
    <w:rsid w:val="00187AD3"/>
    <w:rsid w:val="00187FA1"/>
    <w:rsid w:val="00190353"/>
    <w:rsid w:val="00190986"/>
    <w:rsid w:val="00190E24"/>
    <w:rsid w:val="001911D4"/>
    <w:rsid w:val="0019126B"/>
    <w:rsid w:val="00191290"/>
    <w:rsid w:val="001918A0"/>
    <w:rsid w:val="0019240D"/>
    <w:rsid w:val="0019245A"/>
    <w:rsid w:val="00192897"/>
    <w:rsid w:val="00192DC2"/>
    <w:rsid w:val="00193207"/>
    <w:rsid w:val="00193CA2"/>
    <w:rsid w:val="00193D6A"/>
    <w:rsid w:val="00193E5C"/>
    <w:rsid w:val="001944DB"/>
    <w:rsid w:val="00194735"/>
    <w:rsid w:val="001948B4"/>
    <w:rsid w:val="00194F78"/>
    <w:rsid w:val="00194F9F"/>
    <w:rsid w:val="00196071"/>
    <w:rsid w:val="001960A9"/>
    <w:rsid w:val="001961CC"/>
    <w:rsid w:val="00196512"/>
    <w:rsid w:val="001965AC"/>
    <w:rsid w:val="0019661E"/>
    <w:rsid w:val="00197369"/>
    <w:rsid w:val="00197742"/>
    <w:rsid w:val="00197C19"/>
    <w:rsid w:val="001A0288"/>
    <w:rsid w:val="001A09FA"/>
    <w:rsid w:val="001A0FD1"/>
    <w:rsid w:val="001A12C5"/>
    <w:rsid w:val="001A140E"/>
    <w:rsid w:val="001A1A65"/>
    <w:rsid w:val="001A2B92"/>
    <w:rsid w:val="001A33CF"/>
    <w:rsid w:val="001A3D17"/>
    <w:rsid w:val="001A3FFD"/>
    <w:rsid w:val="001A41BA"/>
    <w:rsid w:val="001A433F"/>
    <w:rsid w:val="001A4B7B"/>
    <w:rsid w:val="001A4BA6"/>
    <w:rsid w:val="001A512B"/>
    <w:rsid w:val="001A55D5"/>
    <w:rsid w:val="001A5AF9"/>
    <w:rsid w:val="001A62A6"/>
    <w:rsid w:val="001A632B"/>
    <w:rsid w:val="001A6C9E"/>
    <w:rsid w:val="001A6E18"/>
    <w:rsid w:val="001A7C64"/>
    <w:rsid w:val="001A7F85"/>
    <w:rsid w:val="001B0158"/>
    <w:rsid w:val="001B01AA"/>
    <w:rsid w:val="001B06A1"/>
    <w:rsid w:val="001B071F"/>
    <w:rsid w:val="001B07BD"/>
    <w:rsid w:val="001B0A51"/>
    <w:rsid w:val="001B0F08"/>
    <w:rsid w:val="001B1152"/>
    <w:rsid w:val="001B135C"/>
    <w:rsid w:val="001B1469"/>
    <w:rsid w:val="001B1555"/>
    <w:rsid w:val="001B158B"/>
    <w:rsid w:val="001B1E4B"/>
    <w:rsid w:val="001B2109"/>
    <w:rsid w:val="001B29CD"/>
    <w:rsid w:val="001B2E98"/>
    <w:rsid w:val="001B311C"/>
    <w:rsid w:val="001B3946"/>
    <w:rsid w:val="001B403D"/>
    <w:rsid w:val="001B46CD"/>
    <w:rsid w:val="001B48A5"/>
    <w:rsid w:val="001B4AA1"/>
    <w:rsid w:val="001B585E"/>
    <w:rsid w:val="001B5C83"/>
    <w:rsid w:val="001B5FAB"/>
    <w:rsid w:val="001B6663"/>
    <w:rsid w:val="001B6C55"/>
    <w:rsid w:val="001B6C60"/>
    <w:rsid w:val="001B6E74"/>
    <w:rsid w:val="001B70A8"/>
    <w:rsid w:val="001B74BE"/>
    <w:rsid w:val="001B7BD4"/>
    <w:rsid w:val="001C056E"/>
    <w:rsid w:val="001C05E9"/>
    <w:rsid w:val="001C0D56"/>
    <w:rsid w:val="001C0FD5"/>
    <w:rsid w:val="001C132E"/>
    <w:rsid w:val="001C14CB"/>
    <w:rsid w:val="001C1CAA"/>
    <w:rsid w:val="001C20B1"/>
    <w:rsid w:val="001C2E59"/>
    <w:rsid w:val="001C2FAB"/>
    <w:rsid w:val="001C32D7"/>
    <w:rsid w:val="001C3E43"/>
    <w:rsid w:val="001C46FD"/>
    <w:rsid w:val="001C4F0F"/>
    <w:rsid w:val="001C5424"/>
    <w:rsid w:val="001C59C3"/>
    <w:rsid w:val="001C68A6"/>
    <w:rsid w:val="001C6ADB"/>
    <w:rsid w:val="001C6C46"/>
    <w:rsid w:val="001C6DD0"/>
    <w:rsid w:val="001C6E0A"/>
    <w:rsid w:val="001C7035"/>
    <w:rsid w:val="001C7834"/>
    <w:rsid w:val="001C7A3C"/>
    <w:rsid w:val="001D0489"/>
    <w:rsid w:val="001D0720"/>
    <w:rsid w:val="001D0A29"/>
    <w:rsid w:val="001D0F0C"/>
    <w:rsid w:val="001D108E"/>
    <w:rsid w:val="001D1277"/>
    <w:rsid w:val="001D13DE"/>
    <w:rsid w:val="001D15EE"/>
    <w:rsid w:val="001D16EF"/>
    <w:rsid w:val="001D171B"/>
    <w:rsid w:val="001D17A9"/>
    <w:rsid w:val="001D18BD"/>
    <w:rsid w:val="001D1E80"/>
    <w:rsid w:val="001D233F"/>
    <w:rsid w:val="001D24D5"/>
    <w:rsid w:val="001D2592"/>
    <w:rsid w:val="001D2720"/>
    <w:rsid w:val="001D2C86"/>
    <w:rsid w:val="001D325D"/>
    <w:rsid w:val="001D4B2C"/>
    <w:rsid w:val="001D4B46"/>
    <w:rsid w:val="001D4D0B"/>
    <w:rsid w:val="001D5CDF"/>
    <w:rsid w:val="001D6169"/>
    <w:rsid w:val="001D619A"/>
    <w:rsid w:val="001D66E4"/>
    <w:rsid w:val="001D6713"/>
    <w:rsid w:val="001D693E"/>
    <w:rsid w:val="001D69D4"/>
    <w:rsid w:val="001D6B5F"/>
    <w:rsid w:val="001D7074"/>
    <w:rsid w:val="001D7225"/>
    <w:rsid w:val="001D7295"/>
    <w:rsid w:val="001D78A4"/>
    <w:rsid w:val="001D7CD0"/>
    <w:rsid w:val="001E0007"/>
    <w:rsid w:val="001E068A"/>
    <w:rsid w:val="001E06A2"/>
    <w:rsid w:val="001E072B"/>
    <w:rsid w:val="001E10AD"/>
    <w:rsid w:val="001E21A5"/>
    <w:rsid w:val="001E23C9"/>
    <w:rsid w:val="001E300D"/>
    <w:rsid w:val="001E40BB"/>
    <w:rsid w:val="001E420C"/>
    <w:rsid w:val="001E4B8D"/>
    <w:rsid w:val="001E53F0"/>
    <w:rsid w:val="001E57AA"/>
    <w:rsid w:val="001E5BE2"/>
    <w:rsid w:val="001E5CE9"/>
    <w:rsid w:val="001E60A3"/>
    <w:rsid w:val="001E66BC"/>
    <w:rsid w:val="001E6B9C"/>
    <w:rsid w:val="001E6BC3"/>
    <w:rsid w:val="001E74C9"/>
    <w:rsid w:val="001F010A"/>
    <w:rsid w:val="001F03D4"/>
    <w:rsid w:val="001F08DA"/>
    <w:rsid w:val="001F178F"/>
    <w:rsid w:val="001F2513"/>
    <w:rsid w:val="001F2651"/>
    <w:rsid w:val="001F3723"/>
    <w:rsid w:val="001F3877"/>
    <w:rsid w:val="001F38F2"/>
    <w:rsid w:val="001F3B35"/>
    <w:rsid w:val="001F3C7F"/>
    <w:rsid w:val="001F4379"/>
    <w:rsid w:val="001F43C5"/>
    <w:rsid w:val="001F46B9"/>
    <w:rsid w:val="001F487B"/>
    <w:rsid w:val="001F495A"/>
    <w:rsid w:val="001F4E24"/>
    <w:rsid w:val="001F4F22"/>
    <w:rsid w:val="001F5D42"/>
    <w:rsid w:val="001F5F78"/>
    <w:rsid w:val="001F697E"/>
    <w:rsid w:val="001F7098"/>
    <w:rsid w:val="001F7163"/>
    <w:rsid w:val="001F750F"/>
    <w:rsid w:val="001F7C21"/>
    <w:rsid w:val="00200B7E"/>
    <w:rsid w:val="002017B2"/>
    <w:rsid w:val="002018F1"/>
    <w:rsid w:val="00201DAF"/>
    <w:rsid w:val="00202344"/>
    <w:rsid w:val="00202352"/>
    <w:rsid w:val="00202512"/>
    <w:rsid w:val="00202EBC"/>
    <w:rsid w:val="002033C7"/>
    <w:rsid w:val="00203E6C"/>
    <w:rsid w:val="00203EC4"/>
    <w:rsid w:val="00203FBE"/>
    <w:rsid w:val="0020420C"/>
    <w:rsid w:val="00204C72"/>
    <w:rsid w:val="002053BA"/>
    <w:rsid w:val="002054B0"/>
    <w:rsid w:val="002065B5"/>
    <w:rsid w:val="00206B20"/>
    <w:rsid w:val="00206E46"/>
    <w:rsid w:val="00207077"/>
    <w:rsid w:val="0020757F"/>
    <w:rsid w:val="002075D9"/>
    <w:rsid w:val="00207A8D"/>
    <w:rsid w:val="002102A8"/>
    <w:rsid w:val="002104BE"/>
    <w:rsid w:val="0021164A"/>
    <w:rsid w:val="0021189D"/>
    <w:rsid w:val="00211CBF"/>
    <w:rsid w:val="00211E69"/>
    <w:rsid w:val="002121E1"/>
    <w:rsid w:val="00213072"/>
    <w:rsid w:val="00213570"/>
    <w:rsid w:val="002136A7"/>
    <w:rsid w:val="00213F5C"/>
    <w:rsid w:val="00214641"/>
    <w:rsid w:val="00215125"/>
    <w:rsid w:val="00215F61"/>
    <w:rsid w:val="00216384"/>
    <w:rsid w:val="00216798"/>
    <w:rsid w:val="002168D3"/>
    <w:rsid w:val="00216C1D"/>
    <w:rsid w:val="00216FC8"/>
    <w:rsid w:val="00217032"/>
    <w:rsid w:val="00217741"/>
    <w:rsid w:val="00217EF7"/>
    <w:rsid w:val="0022016B"/>
    <w:rsid w:val="002206DF"/>
    <w:rsid w:val="00220A5B"/>
    <w:rsid w:val="00222538"/>
    <w:rsid w:val="00222645"/>
    <w:rsid w:val="002228F6"/>
    <w:rsid w:val="00222A11"/>
    <w:rsid w:val="0022314A"/>
    <w:rsid w:val="0022356C"/>
    <w:rsid w:val="002236F3"/>
    <w:rsid w:val="00223BD2"/>
    <w:rsid w:val="00223E48"/>
    <w:rsid w:val="00223F1F"/>
    <w:rsid w:val="00224EB3"/>
    <w:rsid w:val="00224F75"/>
    <w:rsid w:val="002251D7"/>
    <w:rsid w:val="00225241"/>
    <w:rsid w:val="00225599"/>
    <w:rsid w:val="002257A5"/>
    <w:rsid w:val="00225975"/>
    <w:rsid w:val="0022599A"/>
    <w:rsid w:val="00226098"/>
    <w:rsid w:val="00226FAE"/>
    <w:rsid w:val="00227577"/>
    <w:rsid w:val="0022775F"/>
    <w:rsid w:val="00227E3E"/>
    <w:rsid w:val="00227F28"/>
    <w:rsid w:val="00227FB0"/>
    <w:rsid w:val="00230A6D"/>
    <w:rsid w:val="00231B73"/>
    <w:rsid w:val="00231C62"/>
    <w:rsid w:val="002329C7"/>
    <w:rsid w:val="00232CE5"/>
    <w:rsid w:val="002331B8"/>
    <w:rsid w:val="00233A27"/>
    <w:rsid w:val="00233AAB"/>
    <w:rsid w:val="00233AD6"/>
    <w:rsid w:val="0023418F"/>
    <w:rsid w:val="002341E1"/>
    <w:rsid w:val="00234299"/>
    <w:rsid w:val="002348D9"/>
    <w:rsid w:val="002358B4"/>
    <w:rsid w:val="00235F71"/>
    <w:rsid w:val="00236390"/>
    <w:rsid w:val="002363B6"/>
    <w:rsid w:val="002373BD"/>
    <w:rsid w:val="002377AD"/>
    <w:rsid w:val="00237A92"/>
    <w:rsid w:val="00237D52"/>
    <w:rsid w:val="00240AED"/>
    <w:rsid w:val="00241005"/>
    <w:rsid w:val="00241018"/>
    <w:rsid w:val="00241607"/>
    <w:rsid w:val="002416FA"/>
    <w:rsid w:val="00241966"/>
    <w:rsid w:val="00241F73"/>
    <w:rsid w:val="0024239C"/>
    <w:rsid w:val="002436D8"/>
    <w:rsid w:val="00243BEB"/>
    <w:rsid w:val="00244AAA"/>
    <w:rsid w:val="00244AD9"/>
    <w:rsid w:val="00244F19"/>
    <w:rsid w:val="00244F7F"/>
    <w:rsid w:val="00245282"/>
    <w:rsid w:val="00245D38"/>
    <w:rsid w:val="00245D8E"/>
    <w:rsid w:val="00245DD5"/>
    <w:rsid w:val="0024648A"/>
    <w:rsid w:val="002478D0"/>
    <w:rsid w:val="00247F66"/>
    <w:rsid w:val="00247F8A"/>
    <w:rsid w:val="00250878"/>
    <w:rsid w:val="002509B7"/>
    <w:rsid w:val="00251205"/>
    <w:rsid w:val="00251835"/>
    <w:rsid w:val="002523F0"/>
    <w:rsid w:val="002533B8"/>
    <w:rsid w:val="002539DC"/>
    <w:rsid w:val="00253B77"/>
    <w:rsid w:val="00253F96"/>
    <w:rsid w:val="00254065"/>
    <w:rsid w:val="00254183"/>
    <w:rsid w:val="002545D2"/>
    <w:rsid w:val="00254A4D"/>
    <w:rsid w:val="00254CDF"/>
    <w:rsid w:val="00254D1A"/>
    <w:rsid w:val="00254DED"/>
    <w:rsid w:val="00254E89"/>
    <w:rsid w:val="0025505D"/>
    <w:rsid w:val="002552FC"/>
    <w:rsid w:val="00255812"/>
    <w:rsid w:val="00255962"/>
    <w:rsid w:val="00255E57"/>
    <w:rsid w:val="0025657C"/>
    <w:rsid w:val="00256951"/>
    <w:rsid w:val="00256FA0"/>
    <w:rsid w:val="0025710A"/>
    <w:rsid w:val="00257585"/>
    <w:rsid w:val="00257FD2"/>
    <w:rsid w:val="00261309"/>
    <w:rsid w:val="00261424"/>
    <w:rsid w:val="00262C67"/>
    <w:rsid w:val="00262E3D"/>
    <w:rsid w:val="0026388E"/>
    <w:rsid w:val="0026390C"/>
    <w:rsid w:val="00263DED"/>
    <w:rsid w:val="00263E27"/>
    <w:rsid w:val="00263E33"/>
    <w:rsid w:val="00263FC8"/>
    <w:rsid w:val="002643C0"/>
    <w:rsid w:val="0026467F"/>
    <w:rsid w:val="002646CA"/>
    <w:rsid w:val="002648DD"/>
    <w:rsid w:val="00264B63"/>
    <w:rsid w:val="00265437"/>
    <w:rsid w:val="002655F9"/>
    <w:rsid w:val="002667DF"/>
    <w:rsid w:val="00266F29"/>
    <w:rsid w:val="002673A2"/>
    <w:rsid w:val="00267FB4"/>
    <w:rsid w:val="00270000"/>
    <w:rsid w:val="0027005A"/>
    <w:rsid w:val="00270530"/>
    <w:rsid w:val="00270B01"/>
    <w:rsid w:val="00270D8D"/>
    <w:rsid w:val="00271054"/>
    <w:rsid w:val="00271166"/>
    <w:rsid w:val="00271E88"/>
    <w:rsid w:val="00272047"/>
    <w:rsid w:val="00272241"/>
    <w:rsid w:val="00272D53"/>
    <w:rsid w:val="00273291"/>
    <w:rsid w:val="0027356C"/>
    <w:rsid w:val="0027365B"/>
    <w:rsid w:val="002738A5"/>
    <w:rsid w:val="00274BB2"/>
    <w:rsid w:val="00274E77"/>
    <w:rsid w:val="0027549F"/>
    <w:rsid w:val="00275604"/>
    <w:rsid w:val="0027675B"/>
    <w:rsid w:val="00276A1B"/>
    <w:rsid w:val="00276CC0"/>
    <w:rsid w:val="00276ECF"/>
    <w:rsid w:val="002770A7"/>
    <w:rsid w:val="0027716A"/>
    <w:rsid w:val="0027776B"/>
    <w:rsid w:val="002777E3"/>
    <w:rsid w:val="002778BA"/>
    <w:rsid w:val="00277E5E"/>
    <w:rsid w:val="00277FFA"/>
    <w:rsid w:val="00280087"/>
    <w:rsid w:val="00280EDD"/>
    <w:rsid w:val="0028172B"/>
    <w:rsid w:val="00281A7A"/>
    <w:rsid w:val="00281DA1"/>
    <w:rsid w:val="00281E04"/>
    <w:rsid w:val="002822DE"/>
    <w:rsid w:val="00282441"/>
    <w:rsid w:val="00282745"/>
    <w:rsid w:val="00282AEC"/>
    <w:rsid w:val="0028306F"/>
    <w:rsid w:val="002833E9"/>
    <w:rsid w:val="002835DB"/>
    <w:rsid w:val="002843AD"/>
    <w:rsid w:val="0028442B"/>
    <w:rsid w:val="00284D9D"/>
    <w:rsid w:val="00284EFC"/>
    <w:rsid w:val="002851E6"/>
    <w:rsid w:val="002860A4"/>
    <w:rsid w:val="00286452"/>
    <w:rsid w:val="00286819"/>
    <w:rsid w:val="0028692E"/>
    <w:rsid w:val="00286E58"/>
    <w:rsid w:val="002873E9"/>
    <w:rsid w:val="002876E8"/>
    <w:rsid w:val="002877C1"/>
    <w:rsid w:val="00287AF4"/>
    <w:rsid w:val="00287B1A"/>
    <w:rsid w:val="00287FDA"/>
    <w:rsid w:val="0029023D"/>
    <w:rsid w:val="00290747"/>
    <w:rsid w:val="00290831"/>
    <w:rsid w:val="00290B06"/>
    <w:rsid w:val="0029109F"/>
    <w:rsid w:val="00291899"/>
    <w:rsid w:val="00291992"/>
    <w:rsid w:val="00291BE4"/>
    <w:rsid w:val="00291EB0"/>
    <w:rsid w:val="00291F37"/>
    <w:rsid w:val="00292611"/>
    <w:rsid w:val="002929D7"/>
    <w:rsid w:val="00292A82"/>
    <w:rsid w:val="00292B0B"/>
    <w:rsid w:val="002930E9"/>
    <w:rsid w:val="002934BE"/>
    <w:rsid w:val="00293761"/>
    <w:rsid w:val="0029392F"/>
    <w:rsid w:val="00294098"/>
    <w:rsid w:val="0029424F"/>
    <w:rsid w:val="002958C1"/>
    <w:rsid w:val="00295A1A"/>
    <w:rsid w:val="00297429"/>
    <w:rsid w:val="002976ED"/>
    <w:rsid w:val="002A05C1"/>
    <w:rsid w:val="002A1E25"/>
    <w:rsid w:val="002A1ECE"/>
    <w:rsid w:val="002A2E95"/>
    <w:rsid w:val="002A30B5"/>
    <w:rsid w:val="002A377C"/>
    <w:rsid w:val="002A42BE"/>
    <w:rsid w:val="002A4C84"/>
    <w:rsid w:val="002A4D70"/>
    <w:rsid w:val="002A5AE1"/>
    <w:rsid w:val="002A6D96"/>
    <w:rsid w:val="002A6E38"/>
    <w:rsid w:val="002A6E4C"/>
    <w:rsid w:val="002A79B1"/>
    <w:rsid w:val="002A79F4"/>
    <w:rsid w:val="002A7E12"/>
    <w:rsid w:val="002B02A8"/>
    <w:rsid w:val="002B0A0E"/>
    <w:rsid w:val="002B0DD1"/>
    <w:rsid w:val="002B1221"/>
    <w:rsid w:val="002B15BD"/>
    <w:rsid w:val="002B21A3"/>
    <w:rsid w:val="002B21BB"/>
    <w:rsid w:val="002B2697"/>
    <w:rsid w:val="002B2839"/>
    <w:rsid w:val="002B2F5E"/>
    <w:rsid w:val="002B3404"/>
    <w:rsid w:val="002B38A6"/>
    <w:rsid w:val="002B3AE7"/>
    <w:rsid w:val="002B3DFC"/>
    <w:rsid w:val="002B44A4"/>
    <w:rsid w:val="002B4657"/>
    <w:rsid w:val="002B4FE2"/>
    <w:rsid w:val="002B56A3"/>
    <w:rsid w:val="002B5D5D"/>
    <w:rsid w:val="002B5FF0"/>
    <w:rsid w:val="002B6557"/>
    <w:rsid w:val="002B6724"/>
    <w:rsid w:val="002B6D4A"/>
    <w:rsid w:val="002B72B3"/>
    <w:rsid w:val="002B7432"/>
    <w:rsid w:val="002B755F"/>
    <w:rsid w:val="002B7877"/>
    <w:rsid w:val="002B7AA0"/>
    <w:rsid w:val="002B7CD7"/>
    <w:rsid w:val="002C006A"/>
    <w:rsid w:val="002C0390"/>
    <w:rsid w:val="002C05E6"/>
    <w:rsid w:val="002C06C5"/>
    <w:rsid w:val="002C0B93"/>
    <w:rsid w:val="002C0D8A"/>
    <w:rsid w:val="002C123F"/>
    <w:rsid w:val="002C141B"/>
    <w:rsid w:val="002C1CF2"/>
    <w:rsid w:val="002C1D8C"/>
    <w:rsid w:val="002C1EEF"/>
    <w:rsid w:val="002C24ED"/>
    <w:rsid w:val="002C258B"/>
    <w:rsid w:val="002C2703"/>
    <w:rsid w:val="002C2EAF"/>
    <w:rsid w:val="002C326A"/>
    <w:rsid w:val="002C33A1"/>
    <w:rsid w:val="002C33C9"/>
    <w:rsid w:val="002C36CC"/>
    <w:rsid w:val="002C3D7B"/>
    <w:rsid w:val="002C47CE"/>
    <w:rsid w:val="002C4DD9"/>
    <w:rsid w:val="002C4F56"/>
    <w:rsid w:val="002C4FFB"/>
    <w:rsid w:val="002C50AF"/>
    <w:rsid w:val="002C5725"/>
    <w:rsid w:val="002C5E9A"/>
    <w:rsid w:val="002C6428"/>
    <w:rsid w:val="002C6CE6"/>
    <w:rsid w:val="002C77A6"/>
    <w:rsid w:val="002C780F"/>
    <w:rsid w:val="002C799B"/>
    <w:rsid w:val="002C7C4D"/>
    <w:rsid w:val="002C7C8D"/>
    <w:rsid w:val="002C7F82"/>
    <w:rsid w:val="002D0361"/>
    <w:rsid w:val="002D0482"/>
    <w:rsid w:val="002D06A9"/>
    <w:rsid w:val="002D09C3"/>
    <w:rsid w:val="002D0F71"/>
    <w:rsid w:val="002D108D"/>
    <w:rsid w:val="002D129C"/>
    <w:rsid w:val="002D196D"/>
    <w:rsid w:val="002D1A34"/>
    <w:rsid w:val="002D219A"/>
    <w:rsid w:val="002D23FC"/>
    <w:rsid w:val="002D24C1"/>
    <w:rsid w:val="002D263B"/>
    <w:rsid w:val="002D264B"/>
    <w:rsid w:val="002D2A72"/>
    <w:rsid w:val="002D2D0B"/>
    <w:rsid w:val="002D399E"/>
    <w:rsid w:val="002D3A59"/>
    <w:rsid w:val="002D3AFF"/>
    <w:rsid w:val="002D3B48"/>
    <w:rsid w:val="002D3BF0"/>
    <w:rsid w:val="002D3EC9"/>
    <w:rsid w:val="002D4843"/>
    <w:rsid w:val="002D4966"/>
    <w:rsid w:val="002D558A"/>
    <w:rsid w:val="002D63DA"/>
    <w:rsid w:val="002D64D0"/>
    <w:rsid w:val="002D6953"/>
    <w:rsid w:val="002D6A47"/>
    <w:rsid w:val="002D6C1C"/>
    <w:rsid w:val="002D70A1"/>
    <w:rsid w:val="002D7153"/>
    <w:rsid w:val="002D7525"/>
    <w:rsid w:val="002D774B"/>
    <w:rsid w:val="002D78D6"/>
    <w:rsid w:val="002E010D"/>
    <w:rsid w:val="002E05E0"/>
    <w:rsid w:val="002E08F4"/>
    <w:rsid w:val="002E0907"/>
    <w:rsid w:val="002E119F"/>
    <w:rsid w:val="002E17AA"/>
    <w:rsid w:val="002E18AB"/>
    <w:rsid w:val="002E18EC"/>
    <w:rsid w:val="002E1A73"/>
    <w:rsid w:val="002E1EA8"/>
    <w:rsid w:val="002E2141"/>
    <w:rsid w:val="002E2BDF"/>
    <w:rsid w:val="002E312F"/>
    <w:rsid w:val="002E319B"/>
    <w:rsid w:val="002E3963"/>
    <w:rsid w:val="002E448E"/>
    <w:rsid w:val="002E4F5B"/>
    <w:rsid w:val="002E5313"/>
    <w:rsid w:val="002E5486"/>
    <w:rsid w:val="002E58CC"/>
    <w:rsid w:val="002E5DE7"/>
    <w:rsid w:val="002E66F8"/>
    <w:rsid w:val="002E6895"/>
    <w:rsid w:val="002F04AB"/>
    <w:rsid w:val="002F0945"/>
    <w:rsid w:val="002F0995"/>
    <w:rsid w:val="002F0ACD"/>
    <w:rsid w:val="002F0BC3"/>
    <w:rsid w:val="002F0DCC"/>
    <w:rsid w:val="002F1389"/>
    <w:rsid w:val="002F194F"/>
    <w:rsid w:val="002F1F6B"/>
    <w:rsid w:val="002F3E05"/>
    <w:rsid w:val="002F3EFB"/>
    <w:rsid w:val="002F4016"/>
    <w:rsid w:val="002F4103"/>
    <w:rsid w:val="002F4151"/>
    <w:rsid w:val="002F442C"/>
    <w:rsid w:val="002F4BB8"/>
    <w:rsid w:val="002F51C1"/>
    <w:rsid w:val="002F5447"/>
    <w:rsid w:val="002F604A"/>
    <w:rsid w:val="002F64FF"/>
    <w:rsid w:val="002F6532"/>
    <w:rsid w:val="002F6548"/>
    <w:rsid w:val="002F6683"/>
    <w:rsid w:val="002F6828"/>
    <w:rsid w:val="002F6DFA"/>
    <w:rsid w:val="002F7366"/>
    <w:rsid w:val="002F7ACB"/>
    <w:rsid w:val="002F7C2E"/>
    <w:rsid w:val="002F7E9B"/>
    <w:rsid w:val="003009E2"/>
    <w:rsid w:val="00300B2B"/>
    <w:rsid w:val="00300E17"/>
    <w:rsid w:val="00300F79"/>
    <w:rsid w:val="0030120F"/>
    <w:rsid w:val="0030124C"/>
    <w:rsid w:val="00301435"/>
    <w:rsid w:val="00301A11"/>
    <w:rsid w:val="00301A82"/>
    <w:rsid w:val="00301FC2"/>
    <w:rsid w:val="003020F1"/>
    <w:rsid w:val="003027BA"/>
    <w:rsid w:val="00302D55"/>
    <w:rsid w:val="00303490"/>
    <w:rsid w:val="00303A4A"/>
    <w:rsid w:val="00304383"/>
    <w:rsid w:val="0030446C"/>
    <w:rsid w:val="003047E4"/>
    <w:rsid w:val="00304A79"/>
    <w:rsid w:val="00304D88"/>
    <w:rsid w:val="00305A3C"/>
    <w:rsid w:val="00305D5E"/>
    <w:rsid w:val="00306908"/>
    <w:rsid w:val="00306BE1"/>
    <w:rsid w:val="003072BA"/>
    <w:rsid w:val="00307BE5"/>
    <w:rsid w:val="0031013B"/>
    <w:rsid w:val="00310A31"/>
    <w:rsid w:val="00310A74"/>
    <w:rsid w:val="00310C34"/>
    <w:rsid w:val="00311165"/>
    <w:rsid w:val="003113F7"/>
    <w:rsid w:val="00311B9A"/>
    <w:rsid w:val="00311DE6"/>
    <w:rsid w:val="00311FDE"/>
    <w:rsid w:val="00312146"/>
    <w:rsid w:val="003121DD"/>
    <w:rsid w:val="003132AD"/>
    <w:rsid w:val="00313DC7"/>
    <w:rsid w:val="003148EE"/>
    <w:rsid w:val="00314A12"/>
    <w:rsid w:val="00314A41"/>
    <w:rsid w:val="00314A7D"/>
    <w:rsid w:val="00314AC5"/>
    <w:rsid w:val="00314F0E"/>
    <w:rsid w:val="00314F8B"/>
    <w:rsid w:val="003152E1"/>
    <w:rsid w:val="00315484"/>
    <w:rsid w:val="0031578B"/>
    <w:rsid w:val="00315AB3"/>
    <w:rsid w:val="00316107"/>
    <w:rsid w:val="00316223"/>
    <w:rsid w:val="00316378"/>
    <w:rsid w:val="00316BD8"/>
    <w:rsid w:val="003173B5"/>
    <w:rsid w:val="00317534"/>
    <w:rsid w:val="00317580"/>
    <w:rsid w:val="00317BDD"/>
    <w:rsid w:val="00317CFC"/>
    <w:rsid w:val="00317F26"/>
    <w:rsid w:val="00321170"/>
    <w:rsid w:val="0032155E"/>
    <w:rsid w:val="00321768"/>
    <w:rsid w:val="0032187F"/>
    <w:rsid w:val="0032262C"/>
    <w:rsid w:val="00322747"/>
    <w:rsid w:val="0032294B"/>
    <w:rsid w:val="00322DC8"/>
    <w:rsid w:val="0032308A"/>
    <w:rsid w:val="00323133"/>
    <w:rsid w:val="00323528"/>
    <w:rsid w:val="00323C19"/>
    <w:rsid w:val="00324170"/>
    <w:rsid w:val="00324E74"/>
    <w:rsid w:val="003253EE"/>
    <w:rsid w:val="00326185"/>
    <w:rsid w:val="00327217"/>
    <w:rsid w:val="003273D9"/>
    <w:rsid w:val="0032754C"/>
    <w:rsid w:val="00327B4E"/>
    <w:rsid w:val="00330D6F"/>
    <w:rsid w:val="00330F19"/>
    <w:rsid w:val="00331127"/>
    <w:rsid w:val="0033257E"/>
    <w:rsid w:val="00332639"/>
    <w:rsid w:val="0033269D"/>
    <w:rsid w:val="00332798"/>
    <w:rsid w:val="0033311C"/>
    <w:rsid w:val="00333374"/>
    <w:rsid w:val="0033380F"/>
    <w:rsid w:val="00333E2C"/>
    <w:rsid w:val="00333FD9"/>
    <w:rsid w:val="00334714"/>
    <w:rsid w:val="00334C14"/>
    <w:rsid w:val="0033523C"/>
    <w:rsid w:val="0033542F"/>
    <w:rsid w:val="00335454"/>
    <w:rsid w:val="003357D7"/>
    <w:rsid w:val="00335ABD"/>
    <w:rsid w:val="0033730B"/>
    <w:rsid w:val="003406D7"/>
    <w:rsid w:val="00340FB2"/>
    <w:rsid w:val="00341039"/>
    <w:rsid w:val="0034186C"/>
    <w:rsid w:val="00341AE5"/>
    <w:rsid w:val="00341B91"/>
    <w:rsid w:val="00341FE3"/>
    <w:rsid w:val="003421D1"/>
    <w:rsid w:val="00342AAC"/>
    <w:rsid w:val="00342BCF"/>
    <w:rsid w:val="00343224"/>
    <w:rsid w:val="0034335A"/>
    <w:rsid w:val="003435F2"/>
    <w:rsid w:val="00343B7D"/>
    <w:rsid w:val="00344189"/>
    <w:rsid w:val="00344301"/>
    <w:rsid w:val="003446C1"/>
    <w:rsid w:val="00345105"/>
    <w:rsid w:val="003453B9"/>
    <w:rsid w:val="003456AC"/>
    <w:rsid w:val="00345B35"/>
    <w:rsid w:val="003461B8"/>
    <w:rsid w:val="003461DA"/>
    <w:rsid w:val="003466E0"/>
    <w:rsid w:val="0034697B"/>
    <w:rsid w:val="00346DAD"/>
    <w:rsid w:val="003470E5"/>
    <w:rsid w:val="003474A2"/>
    <w:rsid w:val="00347B0E"/>
    <w:rsid w:val="00350095"/>
    <w:rsid w:val="003502CE"/>
    <w:rsid w:val="003506A6"/>
    <w:rsid w:val="003513B7"/>
    <w:rsid w:val="003515A3"/>
    <w:rsid w:val="0035206E"/>
    <w:rsid w:val="003524C6"/>
    <w:rsid w:val="00352A17"/>
    <w:rsid w:val="00352C75"/>
    <w:rsid w:val="00352DF4"/>
    <w:rsid w:val="00353C45"/>
    <w:rsid w:val="00353C5D"/>
    <w:rsid w:val="00353EA4"/>
    <w:rsid w:val="00353FCA"/>
    <w:rsid w:val="0035407F"/>
    <w:rsid w:val="003547FE"/>
    <w:rsid w:val="00354F77"/>
    <w:rsid w:val="003551BF"/>
    <w:rsid w:val="0035539F"/>
    <w:rsid w:val="003553EE"/>
    <w:rsid w:val="003558DB"/>
    <w:rsid w:val="00355F4F"/>
    <w:rsid w:val="00356EEA"/>
    <w:rsid w:val="00356F28"/>
    <w:rsid w:val="00360297"/>
    <w:rsid w:val="003604B2"/>
    <w:rsid w:val="0036063A"/>
    <w:rsid w:val="003608C8"/>
    <w:rsid w:val="00360C15"/>
    <w:rsid w:val="00360CD2"/>
    <w:rsid w:val="00360DA6"/>
    <w:rsid w:val="0036184C"/>
    <w:rsid w:val="00361FA6"/>
    <w:rsid w:val="00362567"/>
    <w:rsid w:val="003625E2"/>
    <w:rsid w:val="00363843"/>
    <w:rsid w:val="00363B39"/>
    <w:rsid w:val="0036497F"/>
    <w:rsid w:val="00364AA3"/>
    <w:rsid w:val="00364DAD"/>
    <w:rsid w:val="00365896"/>
    <w:rsid w:val="00365B1E"/>
    <w:rsid w:val="00366074"/>
    <w:rsid w:val="00366227"/>
    <w:rsid w:val="003664D2"/>
    <w:rsid w:val="00366784"/>
    <w:rsid w:val="003667B0"/>
    <w:rsid w:val="003667F6"/>
    <w:rsid w:val="00366815"/>
    <w:rsid w:val="00366D0F"/>
    <w:rsid w:val="00366FBD"/>
    <w:rsid w:val="00367646"/>
    <w:rsid w:val="003679CC"/>
    <w:rsid w:val="00367E0E"/>
    <w:rsid w:val="00367EFA"/>
    <w:rsid w:val="0037009F"/>
    <w:rsid w:val="00370DF7"/>
    <w:rsid w:val="0037155C"/>
    <w:rsid w:val="00371571"/>
    <w:rsid w:val="003717B1"/>
    <w:rsid w:val="003723D8"/>
    <w:rsid w:val="00372486"/>
    <w:rsid w:val="00372592"/>
    <w:rsid w:val="00372721"/>
    <w:rsid w:val="003730F8"/>
    <w:rsid w:val="003734A7"/>
    <w:rsid w:val="003736AB"/>
    <w:rsid w:val="00373B7E"/>
    <w:rsid w:val="00373E69"/>
    <w:rsid w:val="003741C8"/>
    <w:rsid w:val="00374EFE"/>
    <w:rsid w:val="003751E1"/>
    <w:rsid w:val="00375CCF"/>
    <w:rsid w:val="003761B2"/>
    <w:rsid w:val="0037664E"/>
    <w:rsid w:val="00376790"/>
    <w:rsid w:val="003767C0"/>
    <w:rsid w:val="003768FF"/>
    <w:rsid w:val="00377167"/>
    <w:rsid w:val="003772F7"/>
    <w:rsid w:val="00380055"/>
    <w:rsid w:val="0038060C"/>
    <w:rsid w:val="003810F2"/>
    <w:rsid w:val="0038121B"/>
    <w:rsid w:val="00381FC2"/>
    <w:rsid w:val="0038214B"/>
    <w:rsid w:val="00382493"/>
    <w:rsid w:val="003828C1"/>
    <w:rsid w:val="003828D4"/>
    <w:rsid w:val="003829AE"/>
    <w:rsid w:val="00382BF0"/>
    <w:rsid w:val="00383499"/>
    <w:rsid w:val="003835A1"/>
    <w:rsid w:val="00383A80"/>
    <w:rsid w:val="00383AA9"/>
    <w:rsid w:val="00384075"/>
    <w:rsid w:val="003842B9"/>
    <w:rsid w:val="003844DF"/>
    <w:rsid w:val="00384882"/>
    <w:rsid w:val="00384B2E"/>
    <w:rsid w:val="00385A83"/>
    <w:rsid w:val="00386280"/>
    <w:rsid w:val="003866AB"/>
    <w:rsid w:val="00386919"/>
    <w:rsid w:val="00386A91"/>
    <w:rsid w:val="003871BE"/>
    <w:rsid w:val="00387B61"/>
    <w:rsid w:val="00387CEF"/>
    <w:rsid w:val="00387D0C"/>
    <w:rsid w:val="00387E64"/>
    <w:rsid w:val="003906B9"/>
    <w:rsid w:val="00390AD8"/>
    <w:rsid w:val="00390B01"/>
    <w:rsid w:val="003913E4"/>
    <w:rsid w:val="0039140D"/>
    <w:rsid w:val="003916D4"/>
    <w:rsid w:val="003918D5"/>
    <w:rsid w:val="003920F4"/>
    <w:rsid w:val="00392322"/>
    <w:rsid w:val="003923F3"/>
    <w:rsid w:val="003926D7"/>
    <w:rsid w:val="00392A14"/>
    <w:rsid w:val="00392F4C"/>
    <w:rsid w:val="0039335A"/>
    <w:rsid w:val="00393448"/>
    <w:rsid w:val="00393916"/>
    <w:rsid w:val="00393AC3"/>
    <w:rsid w:val="00393C30"/>
    <w:rsid w:val="003941E7"/>
    <w:rsid w:val="003947D4"/>
    <w:rsid w:val="00394B71"/>
    <w:rsid w:val="00394D5E"/>
    <w:rsid w:val="00394EF6"/>
    <w:rsid w:val="00395102"/>
    <w:rsid w:val="003958B6"/>
    <w:rsid w:val="0039592B"/>
    <w:rsid w:val="0039679A"/>
    <w:rsid w:val="00397448"/>
    <w:rsid w:val="00397820"/>
    <w:rsid w:val="003A082F"/>
    <w:rsid w:val="003A0E22"/>
    <w:rsid w:val="003A1B44"/>
    <w:rsid w:val="003A1EAC"/>
    <w:rsid w:val="003A2A70"/>
    <w:rsid w:val="003A2ACB"/>
    <w:rsid w:val="003A3D0C"/>
    <w:rsid w:val="003A4025"/>
    <w:rsid w:val="003A4144"/>
    <w:rsid w:val="003A4E0C"/>
    <w:rsid w:val="003A53E2"/>
    <w:rsid w:val="003A5809"/>
    <w:rsid w:val="003A5D65"/>
    <w:rsid w:val="003A6B4D"/>
    <w:rsid w:val="003A71E1"/>
    <w:rsid w:val="003A7590"/>
    <w:rsid w:val="003A7829"/>
    <w:rsid w:val="003B009C"/>
    <w:rsid w:val="003B1939"/>
    <w:rsid w:val="003B2059"/>
    <w:rsid w:val="003B2D71"/>
    <w:rsid w:val="003B3080"/>
    <w:rsid w:val="003B30F8"/>
    <w:rsid w:val="003B32A7"/>
    <w:rsid w:val="003B3857"/>
    <w:rsid w:val="003B4054"/>
    <w:rsid w:val="003B40C9"/>
    <w:rsid w:val="003B5875"/>
    <w:rsid w:val="003B5B3B"/>
    <w:rsid w:val="003B6112"/>
    <w:rsid w:val="003B6354"/>
    <w:rsid w:val="003B63F1"/>
    <w:rsid w:val="003B6650"/>
    <w:rsid w:val="003B725D"/>
    <w:rsid w:val="003C05C9"/>
    <w:rsid w:val="003C05F0"/>
    <w:rsid w:val="003C1195"/>
    <w:rsid w:val="003C18FC"/>
    <w:rsid w:val="003C1B9A"/>
    <w:rsid w:val="003C1E81"/>
    <w:rsid w:val="003C27B2"/>
    <w:rsid w:val="003C2A60"/>
    <w:rsid w:val="003C2C26"/>
    <w:rsid w:val="003C2ECB"/>
    <w:rsid w:val="003C2F24"/>
    <w:rsid w:val="003C30D1"/>
    <w:rsid w:val="003C366D"/>
    <w:rsid w:val="003C398D"/>
    <w:rsid w:val="003C3C7E"/>
    <w:rsid w:val="003C4464"/>
    <w:rsid w:val="003C4EDA"/>
    <w:rsid w:val="003C51B4"/>
    <w:rsid w:val="003C5D6F"/>
    <w:rsid w:val="003C67C4"/>
    <w:rsid w:val="003C691D"/>
    <w:rsid w:val="003C6998"/>
    <w:rsid w:val="003C6C85"/>
    <w:rsid w:val="003C6D88"/>
    <w:rsid w:val="003C722F"/>
    <w:rsid w:val="003C74A9"/>
    <w:rsid w:val="003C7AA1"/>
    <w:rsid w:val="003D0570"/>
    <w:rsid w:val="003D1075"/>
    <w:rsid w:val="003D1845"/>
    <w:rsid w:val="003D1C47"/>
    <w:rsid w:val="003D1FA9"/>
    <w:rsid w:val="003D2540"/>
    <w:rsid w:val="003D27B2"/>
    <w:rsid w:val="003D2996"/>
    <w:rsid w:val="003D381E"/>
    <w:rsid w:val="003D39A3"/>
    <w:rsid w:val="003D39BB"/>
    <w:rsid w:val="003D3A82"/>
    <w:rsid w:val="003D4965"/>
    <w:rsid w:val="003D5816"/>
    <w:rsid w:val="003D5FD1"/>
    <w:rsid w:val="003D660A"/>
    <w:rsid w:val="003D6C44"/>
    <w:rsid w:val="003D6FD9"/>
    <w:rsid w:val="003D735D"/>
    <w:rsid w:val="003D7576"/>
    <w:rsid w:val="003D7A50"/>
    <w:rsid w:val="003E0185"/>
    <w:rsid w:val="003E0BAF"/>
    <w:rsid w:val="003E1B12"/>
    <w:rsid w:val="003E1CE9"/>
    <w:rsid w:val="003E1EC3"/>
    <w:rsid w:val="003E2143"/>
    <w:rsid w:val="003E2566"/>
    <w:rsid w:val="003E2578"/>
    <w:rsid w:val="003E2B36"/>
    <w:rsid w:val="003E3583"/>
    <w:rsid w:val="003E3FD8"/>
    <w:rsid w:val="003E4231"/>
    <w:rsid w:val="003E4D6F"/>
    <w:rsid w:val="003E5221"/>
    <w:rsid w:val="003E5374"/>
    <w:rsid w:val="003E5FC0"/>
    <w:rsid w:val="003E695B"/>
    <w:rsid w:val="003E71AA"/>
    <w:rsid w:val="003E7346"/>
    <w:rsid w:val="003E74AF"/>
    <w:rsid w:val="003E7DAF"/>
    <w:rsid w:val="003E7E17"/>
    <w:rsid w:val="003F0013"/>
    <w:rsid w:val="003F0053"/>
    <w:rsid w:val="003F08C1"/>
    <w:rsid w:val="003F08FD"/>
    <w:rsid w:val="003F114D"/>
    <w:rsid w:val="003F1430"/>
    <w:rsid w:val="003F1448"/>
    <w:rsid w:val="003F14A3"/>
    <w:rsid w:val="003F18E6"/>
    <w:rsid w:val="003F1AE2"/>
    <w:rsid w:val="003F26AA"/>
    <w:rsid w:val="003F295C"/>
    <w:rsid w:val="003F2C1F"/>
    <w:rsid w:val="003F2DF7"/>
    <w:rsid w:val="003F2FD0"/>
    <w:rsid w:val="003F30EE"/>
    <w:rsid w:val="003F33A5"/>
    <w:rsid w:val="003F3A71"/>
    <w:rsid w:val="003F3D08"/>
    <w:rsid w:val="003F3D75"/>
    <w:rsid w:val="003F3FE5"/>
    <w:rsid w:val="003F4080"/>
    <w:rsid w:val="003F45CB"/>
    <w:rsid w:val="003F45F3"/>
    <w:rsid w:val="003F47BE"/>
    <w:rsid w:val="003F4E89"/>
    <w:rsid w:val="003F5D77"/>
    <w:rsid w:val="003F5ED4"/>
    <w:rsid w:val="003F613B"/>
    <w:rsid w:val="003F6692"/>
    <w:rsid w:val="003F6B77"/>
    <w:rsid w:val="003F6D58"/>
    <w:rsid w:val="003F6E20"/>
    <w:rsid w:val="003F6F54"/>
    <w:rsid w:val="003F70C6"/>
    <w:rsid w:val="003F797F"/>
    <w:rsid w:val="003F7C31"/>
    <w:rsid w:val="004000F2"/>
    <w:rsid w:val="004005A0"/>
    <w:rsid w:val="004006B8"/>
    <w:rsid w:val="00400FF4"/>
    <w:rsid w:val="00401336"/>
    <w:rsid w:val="004016C4"/>
    <w:rsid w:val="00401A05"/>
    <w:rsid w:val="00401CB8"/>
    <w:rsid w:val="00401D6A"/>
    <w:rsid w:val="00402093"/>
    <w:rsid w:val="00402617"/>
    <w:rsid w:val="00402D5E"/>
    <w:rsid w:val="00403CC9"/>
    <w:rsid w:val="00404201"/>
    <w:rsid w:val="00404A2C"/>
    <w:rsid w:val="00404D7A"/>
    <w:rsid w:val="004057AD"/>
    <w:rsid w:val="00405B16"/>
    <w:rsid w:val="00405B8D"/>
    <w:rsid w:val="00405D22"/>
    <w:rsid w:val="00406039"/>
    <w:rsid w:val="00406DC1"/>
    <w:rsid w:val="00406F25"/>
    <w:rsid w:val="0040726D"/>
    <w:rsid w:val="0040791C"/>
    <w:rsid w:val="00407F83"/>
    <w:rsid w:val="0041076E"/>
    <w:rsid w:val="00410788"/>
    <w:rsid w:val="00411EAE"/>
    <w:rsid w:val="00411EC0"/>
    <w:rsid w:val="00411ED4"/>
    <w:rsid w:val="004123E2"/>
    <w:rsid w:val="004129D2"/>
    <w:rsid w:val="0041365E"/>
    <w:rsid w:val="00413793"/>
    <w:rsid w:val="0041450D"/>
    <w:rsid w:val="00414607"/>
    <w:rsid w:val="004150E1"/>
    <w:rsid w:val="004154AE"/>
    <w:rsid w:val="0041581B"/>
    <w:rsid w:val="0041599B"/>
    <w:rsid w:val="00415AC2"/>
    <w:rsid w:val="00415B25"/>
    <w:rsid w:val="00415FD1"/>
    <w:rsid w:val="00416DCA"/>
    <w:rsid w:val="0041799B"/>
    <w:rsid w:val="00420CF7"/>
    <w:rsid w:val="004214BB"/>
    <w:rsid w:val="0042184C"/>
    <w:rsid w:val="00421E94"/>
    <w:rsid w:val="0042234E"/>
    <w:rsid w:val="004223A2"/>
    <w:rsid w:val="00422755"/>
    <w:rsid w:val="00422915"/>
    <w:rsid w:val="0042499A"/>
    <w:rsid w:val="00424C20"/>
    <w:rsid w:val="0042548C"/>
    <w:rsid w:val="00425BF6"/>
    <w:rsid w:val="00425C51"/>
    <w:rsid w:val="00425CF9"/>
    <w:rsid w:val="004264E1"/>
    <w:rsid w:val="004266DD"/>
    <w:rsid w:val="004274CD"/>
    <w:rsid w:val="004277BC"/>
    <w:rsid w:val="00427B36"/>
    <w:rsid w:val="00427CC6"/>
    <w:rsid w:val="00430178"/>
    <w:rsid w:val="00430361"/>
    <w:rsid w:val="004305CE"/>
    <w:rsid w:val="0043082D"/>
    <w:rsid w:val="00430ED0"/>
    <w:rsid w:val="0043101C"/>
    <w:rsid w:val="004311C6"/>
    <w:rsid w:val="0043144A"/>
    <w:rsid w:val="004319E3"/>
    <w:rsid w:val="00432119"/>
    <w:rsid w:val="0043246B"/>
    <w:rsid w:val="00432693"/>
    <w:rsid w:val="00432D2D"/>
    <w:rsid w:val="00432FA7"/>
    <w:rsid w:val="00433210"/>
    <w:rsid w:val="004343C2"/>
    <w:rsid w:val="0043478A"/>
    <w:rsid w:val="004348C5"/>
    <w:rsid w:val="0043553F"/>
    <w:rsid w:val="0043569E"/>
    <w:rsid w:val="00435DAC"/>
    <w:rsid w:val="004368E4"/>
    <w:rsid w:val="00436B5C"/>
    <w:rsid w:val="00436D52"/>
    <w:rsid w:val="00437601"/>
    <w:rsid w:val="004377EE"/>
    <w:rsid w:val="004377F6"/>
    <w:rsid w:val="00437903"/>
    <w:rsid w:val="00437F22"/>
    <w:rsid w:val="004400FE"/>
    <w:rsid w:val="00440184"/>
    <w:rsid w:val="00440FAB"/>
    <w:rsid w:val="00441710"/>
    <w:rsid w:val="00441B15"/>
    <w:rsid w:val="00441FD4"/>
    <w:rsid w:val="00442412"/>
    <w:rsid w:val="00442429"/>
    <w:rsid w:val="00442D23"/>
    <w:rsid w:val="00442DB7"/>
    <w:rsid w:val="00443760"/>
    <w:rsid w:val="0044387C"/>
    <w:rsid w:val="00443956"/>
    <w:rsid w:val="00443B2F"/>
    <w:rsid w:val="00444348"/>
    <w:rsid w:val="00444C84"/>
    <w:rsid w:val="00445359"/>
    <w:rsid w:val="00445767"/>
    <w:rsid w:val="00445D11"/>
    <w:rsid w:val="0044613E"/>
    <w:rsid w:val="00446D27"/>
    <w:rsid w:val="00446F56"/>
    <w:rsid w:val="00447948"/>
    <w:rsid w:val="00447FE8"/>
    <w:rsid w:val="004511D3"/>
    <w:rsid w:val="0045165D"/>
    <w:rsid w:val="00451920"/>
    <w:rsid w:val="00451C9A"/>
    <w:rsid w:val="00452286"/>
    <w:rsid w:val="00452734"/>
    <w:rsid w:val="0045279D"/>
    <w:rsid w:val="004530BE"/>
    <w:rsid w:val="00453243"/>
    <w:rsid w:val="004532F2"/>
    <w:rsid w:val="00453372"/>
    <w:rsid w:val="00454179"/>
    <w:rsid w:val="004547BB"/>
    <w:rsid w:val="0045489A"/>
    <w:rsid w:val="00454CAE"/>
    <w:rsid w:val="00454DC7"/>
    <w:rsid w:val="0045508A"/>
    <w:rsid w:val="00455331"/>
    <w:rsid w:val="00455526"/>
    <w:rsid w:val="00455B43"/>
    <w:rsid w:val="00456120"/>
    <w:rsid w:val="004569C8"/>
    <w:rsid w:val="00456C1E"/>
    <w:rsid w:val="004573FD"/>
    <w:rsid w:val="00457419"/>
    <w:rsid w:val="00457A6E"/>
    <w:rsid w:val="00457CDA"/>
    <w:rsid w:val="0046047C"/>
    <w:rsid w:val="004609E0"/>
    <w:rsid w:val="00460D48"/>
    <w:rsid w:val="004612DC"/>
    <w:rsid w:val="004617EC"/>
    <w:rsid w:val="0046188D"/>
    <w:rsid w:val="004623B0"/>
    <w:rsid w:val="0046290D"/>
    <w:rsid w:val="004638FB"/>
    <w:rsid w:val="00463A8B"/>
    <w:rsid w:val="00464962"/>
    <w:rsid w:val="004650B4"/>
    <w:rsid w:val="00465180"/>
    <w:rsid w:val="004654C7"/>
    <w:rsid w:val="004656EA"/>
    <w:rsid w:val="00465999"/>
    <w:rsid w:val="00466700"/>
    <w:rsid w:val="004671A6"/>
    <w:rsid w:val="004672C6"/>
    <w:rsid w:val="004674EE"/>
    <w:rsid w:val="00467690"/>
    <w:rsid w:val="004676BB"/>
    <w:rsid w:val="00467869"/>
    <w:rsid w:val="00467E02"/>
    <w:rsid w:val="00470873"/>
    <w:rsid w:val="0047121F"/>
    <w:rsid w:val="004713BE"/>
    <w:rsid w:val="0047229E"/>
    <w:rsid w:val="0047432A"/>
    <w:rsid w:val="004749CB"/>
    <w:rsid w:val="00474A3A"/>
    <w:rsid w:val="004751B8"/>
    <w:rsid w:val="00476410"/>
    <w:rsid w:val="0047681C"/>
    <w:rsid w:val="004768DC"/>
    <w:rsid w:val="00476D92"/>
    <w:rsid w:val="00477217"/>
    <w:rsid w:val="0047741E"/>
    <w:rsid w:val="00477490"/>
    <w:rsid w:val="00477FFB"/>
    <w:rsid w:val="004803C6"/>
    <w:rsid w:val="00480D2A"/>
    <w:rsid w:val="00481D8F"/>
    <w:rsid w:val="00482384"/>
    <w:rsid w:val="00483D2D"/>
    <w:rsid w:val="00484EE7"/>
    <w:rsid w:val="00484F8F"/>
    <w:rsid w:val="004850E8"/>
    <w:rsid w:val="00485171"/>
    <w:rsid w:val="00485582"/>
    <w:rsid w:val="00485D95"/>
    <w:rsid w:val="00486363"/>
    <w:rsid w:val="00486425"/>
    <w:rsid w:val="00486502"/>
    <w:rsid w:val="004865C5"/>
    <w:rsid w:val="0048745B"/>
    <w:rsid w:val="0048795D"/>
    <w:rsid w:val="00487CE9"/>
    <w:rsid w:val="004900F0"/>
    <w:rsid w:val="004906A6"/>
    <w:rsid w:val="00490F19"/>
    <w:rsid w:val="00491D23"/>
    <w:rsid w:val="00491D8B"/>
    <w:rsid w:val="00492084"/>
    <w:rsid w:val="0049219D"/>
    <w:rsid w:val="00492447"/>
    <w:rsid w:val="004929A8"/>
    <w:rsid w:val="00492D2F"/>
    <w:rsid w:val="00492EF6"/>
    <w:rsid w:val="004930E2"/>
    <w:rsid w:val="004936EE"/>
    <w:rsid w:val="004938B2"/>
    <w:rsid w:val="00493F6D"/>
    <w:rsid w:val="004943D9"/>
    <w:rsid w:val="0049472D"/>
    <w:rsid w:val="004947BE"/>
    <w:rsid w:val="00494F5C"/>
    <w:rsid w:val="00496182"/>
    <w:rsid w:val="004961E0"/>
    <w:rsid w:val="0049711E"/>
    <w:rsid w:val="00497155"/>
    <w:rsid w:val="00497C54"/>
    <w:rsid w:val="004A0121"/>
    <w:rsid w:val="004A0EB5"/>
    <w:rsid w:val="004A0ED0"/>
    <w:rsid w:val="004A0FC0"/>
    <w:rsid w:val="004A0FDD"/>
    <w:rsid w:val="004A122D"/>
    <w:rsid w:val="004A15A2"/>
    <w:rsid w:val="004A1A0F"/>
    <w:rsid w:val="004A1E16"/>
    <w:rsid w:val="004A2C31"/>
    <w:rsid w:val="004A2EDA"/>
    <w:rsid w:val="004A32BC"/>
    <w:rsid w:val="004A3758"/>
    <w:rsid w:val="004A3EA2"/>
    <w:rsid w:val="004A42C2"/>
    <w:rsid w:val="004A5067"/>
    <w:rsid w:val="004A5520"/>
    <w:rsid w:val="004A608A"/>
    <w:rsid w:val="004A6284"/>
    <w:rsid w:val="004A7FDE"/>
    <w:rsid w:val="004B0041"/>
    <w:rsid w:val="004B00B5"/>
    <w:rsid w:val="004B0B6F"/>
    <w:rsid w:val="004B1972"/>
    <w:rsid w:val="004B1B93"/>
    <w:rsid w:val="004B25B5"/>
    <w:rsid w:val="004B25FA"/>
    <w:rsid w:val="004B2D87"/>
    <w:rsid w:val="004B2FB8"/>
    <w:rsid w:val="004B31A9"/>
    <w:rsid w:val="004B32E1"/>
    <w:rsid w:val="004B42CD"/>
    <w:rsid w:val="004B4528"/>
    <w:rsid w:val="004B4B03"/>
    <w:rsid w:val="004B4EB2"/>
    <w:rsid w:val="004B4F5F"/>
    <w:rsid w:val="004B5A6B"/>
    <w:rsid w:val="004B5B6F"/>
    <w:rsid w:val="004B6061"/>
    <w:rsid w:val="004B660C"/>
    <w:rsid w:val="004B6649"/>
    <w:rsid w:val="004B6865"/>
    <w:rsid w:val="004B7990"/>
    <w:rsid w:val="004B79D6"/>
    <w:rsid w:val="004B7ADC"/>
    <w:rsid w:val="004B7E60"/>
    <w:rsid w:val="004C00E7"/>
    <w:rsid w:val="004C05A2"/>
    <w:rsid w:val="004C0611"/>
    <w:rsid w:val="004C0DDB"/>
    <w:rsid w:val="004C0E21"/>
    <w:rsid w:val="004C0F77"/>
    <w:rsid w:val="004C102C"/>
    <w:rsid w:val="004C1C5E"/>
    <w:rsid w:val="004C2010"/>
    <w:rsid w:val="004C2617"/>
    <w:rsid w:val="004C2C16"/>
    <w:rsid w:val="004C3506"/>
    <w:rsid w:val="004C3C08"/>
    <w:rsid w:val="004C3D3A"/>
    <w:rsid w:val="004C4A1B"/>
    <w:rsid w:val="004C4A6A"/>
    <w:rsid w:val="004C4ABB"/>
    <w:rsid w:val="004C5088"/>
    <w:rsid w:val="004C5C4F"/>
    <w:rsid w:val="004C5DD5"/>
    <w:rsid w:val="004C5E14"/>
    <w:rsid w:val="004C6129"/>
    <w:rsid w:val="004C661B"/>
    <w:rsid w:val="004C6C20"/>
    <w:rsid w:val="004C705C"/>
    <w:rsid w:val="004C70A2"/>
    <w:rsid w:val="004C737D"/>
    <w:rsid w:val="004C7578"/>
    <w:rsid w:val="004C797D"/>
    <w:rsid w:val="004C7CE8"/>
    <w:rsid w:val="004D01B9"/>
    <w:rsid w:val="004D0D29"/>
    <w:rsid w:val="004D0D51"/>
    <w:rsid w:val="004D1606"/>
    <w:rsid w:val="004D17D2"/>
    <w:rsid w:val="004D1A52"/>
    <w:rsid w:val="004D2608"/>
    <w:rsid w:val="004D2675"/>
    <w:rsid w:val="004D277B"/>
    <w:rsid w:val="004D28AF"/>
    <w:rsid w:val="004D328F"/>
    <w:rsid w:val="004D3582"/>
    <w:rsid w:val="004D38AD"/>
    <w:rsid w:val="004D3AEB"/>
    <w:rsid w:val="004D3BFE"/>
    <w:rsid w:val="004D4649"/>
    <w:rsid w:val="004D48DD"/>
    <w:rsid w:val="004D4B19"/>
    <w:rsid w:val="004D4F1C"/>
    <w:rsid w:val="004D5000"/>
    <w:rsid w:val="004D54F5"/>
    <w:rsid w:val="004D593E"/>
    <w:rsid w:val="004D62DF"/>
    <w:rsid w:val="004D630E"/>
    <w:rsid w:val="004D6682"/>
    <w:rsid w:val="004D6922"/>
    <w:rsid w:val="004D6C99"/>
    <w:rsid w:val="004D6D9C"/>
    <w:rsid w:val="004D7258"/>
    <w:rsid w:val="004D7274"/>
    <w:rsid w:val="004D7815"/>
    <w:rsid w:val="004D79A2"/>
    <w:rsid w:val="004D7CA3"/>
    <w:rsid w:val="004E017B"/>
    <w:rsid w:val="004E1064"/>
    <w:rsid w:val="004E2189"/>
    <w:rsid w:val="004E2518"/>
    <w:rsid w:val="004E25D5"/>
    <w:rsid w:val="004E2813"/>
    <w:rsid w:val="004E2955"/>
    <w:rsid w:val="004E2A68"/>
    <w:rsid w:val="004E3234"/>
    <w:rsid w:val="004E32C9"/>
    <w:rsid w:val="004E32F9"/>
    <w:rsid w:val="004E3595"/>
    <w:rsid w:val="004E359F"/>
    <w:rsid w:val="004E3AC4"/>
    <w:rsid w:val="004E47CE"/>
    <w:rsid w:val="004E4B5C"/>
    <w:rsid w:val="004E5417"/>
    <w:rsid w:val="004E5661"/>
    <w:rsid w:val="004E5D0D"/>
    <w:rsid w:val="004E5DB9"/>
    <w:rsid w:val="004E5E33"/>
    <w:rsid w:val="004E5FF1"/>
    <w:rsid w:val="004E6599"/>
    <w:rsid w:val="004E7997"/>
    <w:rsid w:val="004E7DAC"/>
    <w:rsid w:val="004F047E"/>
    <w:rsid w:val="004F0B98"/>
    <w:rsid w:val="004F10A5"/>
    <w:rsid w:val="004F11F5"/>
    <w:rsid w:val="004F1A97"/>
    <w:rsid w:val="004F1C88"/>
    <w:rsid w:val="004F236E"/>
    <w:rsid w:val="004F2439"/>
    <w:rsid w:val="004F31AB"/>
    <w:rsid w:val="004F31DC"/>
    <w:rsid w:val="004F3CD3"/>
    <w:rsid w:val="004F3DD4"/>
    <w:rsid w:val="004F3F4F"/>
    <w:rsid w:val="004F4149"/>
    <w:rsid w:val="004F4360"/>
    <w:rsid w:val="004F467F"/>
    <w:rsid w:val="004F4D26"/>
    <w:rsid w:val="004F4F5E"/>
    <w:rsid w:val="004F58C8"/>
    <w:rsid w:val="004F5DF9"/>
    <w:rsid w:val="004F5E29"/>
    <w:rsid w:val="004F6B36"/>
    <w:rsid w:val="004F6FB1"/>
    <w:rsid w:val="004F7593"/>
    <w:rsid w:val="004F7CCA"/>
    <w:rsid w:val="00500B43"/>
    <w:rsid w:val="00500EA8"/>
    <w:rsid w:val="00500F5B"/>
    <w:rsid w:val="005017A3"/>
    <w:rsid w:val="0050192B"/>
    <w:rsid w:val="00501AB0"/>
    <w:rsid w:val="00501AEF"/>
    <w:rsid w:val="00501E89"/>
    <w:rsid w:val="00502202"/>
    <w:rsid w:val="00502813"/>
    <w:rsid w:val="005028E7"/>
    <w:rsid w:val="00502BCD"/>
    <w:rsid w:val="005033E4"/>
    <w:rsid w:val="00503719"/>
    <w:rsid w:val="00503B52"/>
    <w:rsid w:val="00503C28"/>
    <w:rsid w:val="005040ED"/>
    <w:rsid w:val="00504101"/>
    <w:rsid w:val="005049FA"/>
    <w:rsid w:val="00504F53"/>
    <w:rsid w:val="005052F0"/>
    <w:rsid w:val="0050583A"/>
    <w:rsid w:val="0050591B"/>
    <w:rsid w:val="00505A5C"/>
    <w:rsid w:val="00506281"/>
    <w:rsid w:val="005063C8"/>
    <w:rsid w:val="00506D0F"/>
    <w:rsid w:val="00507201"/>
    <w:rsid w:val="00507B13"/>
    <w:rsid w:val="00507C5D"/>
    <w:rsid w:val="00507F95"/>
    <w:rsid w:val="0051013D"/>
    <w:rsid w:val="00510AF7"/>
    <w:rsid w:val="00511953"/>
    <w:rsid w:val="00511A18"/>
    <w:rsid w:val="0051204E"/>
    <w:rsid w:val="00512495"/>
    <w:rsid w:val="0051307E"/>
    <w:rsid w:val="00513265"/>
    <w:rsid w:val="005139F9"/>
    <w:rsid w:val="0051456A"/>
    <w:rsid w:val="0051504D"/>
    <w:rsid w:val="0051523F"/>
    <w:rsid w:val="00515532"/>
    <w:rsid w:val="00515C54"/>
    <w:rsid w:val="00515E27"/>
    <w:rsid w:val="00517086"/>
    <w:rsid w:val="00517419"/>
    <w:rsid w:val="005175FE"/>
    <w:rsid w:val="005177E3"/>
    <w:rsid w:val="00517D78"/>
    <w:rsid w:val="00517DD3"/>
    <w:rsid w:val="00517E48"/>
    <w:rsid w:val="00517E54"/>
    <w:rsid w:val="005210FE"/>
    <w:rsid w:val="005214BE"/>
    <w:rsid w:val="00522477"/>
    <w:rsid w:val="005225DE"/>
    <w:rsid w:val="005232FD"/>
    <w:rsid w:val="0052358F"/>
    <w:rsid w:val="00523675"/>
    <w:rsid w:val="00523CFB"/>
    <w:rsid w:val="00523E5C"/>
    <w:rsid w:val="00524464"/>
    <w:rsid w:val="0052451A"/>
    <w:rsid w:val="00524646"/>
    <w:rsid w:val="00524CB2"/>
    <w:rsid w:val="00525312"/>
    <w:rsid w:val="005256E5"/>
    <w:rsid w:val="00525BF4"/>
    <w:rsid w:val="00525C66"/>
    <w:rsid w:val="005266CE"/>
    <w:rsid w:val="005269F7"/>
    <w:rsid w:val="00526C13"/>
    <w:rsid w:val="00526DA0"/>
    <w:rsid w:val="00527153"/>
    <w:rsid w:val="00527156"/>
    <w:rsid w:val="0052729E"/>
    <w:rsid w:val="005275E0"/>
    <w:rsid w:val="00527AED"/>
    <w:rsid w:val="00527B4A"/>
    <w:rsid w:val="005302DD"/>
    <w:rsid w:val="00530808"/>
    <w:rsid w:val="00531468"/>
    <w:rsid w:val="00531917"/>
    <w:rsid w:val="00531A16"/>
    <w:rsid w:val="005323FA"/>
    <w:rsid w:val="00532737"/>
    <w:rsid w:val="00533089"/>
    <w:rsid w:val="0053368A"/>
    <w:rsid w:val="00533C73"/>
    <w:rsid w:val="00534392"/>
    <w:rsid w:val="00534A54"/>
    <w:rsid w:val="005353CE"/>
    <w:rsid w:val="005358F5"/>
    <w:rsid w:val="00535A59"/>
    <w:rsid w:val="00536BED"/>
    <w:rsid w:val="00536BF6"/>
    <w:rsid w:val="00536D9E"/>
    <w:rsid w:val="0053766F"/>
    <w:rsid w:val="00537823"/>
    <w:rsid w:val="00537B0C"/>
    <w:rsid w:val="00537B48"/>
    <w:rsid w:val="00540159"/>
    <w:rsid w:val="00540486"/>
    <w:rsid w:val="00540CE3"/>
    <w:rsid w:val="00541181"/>
    <w:rsid w:val="005414B2"/>
    <w:rsid w:val="00541FA5"/>
    <w:rsid w:val="0054254C"/>
    <w:rsid w:val="00542A11"/>
    <w:rsid w:val="005438F2"/>
    <w:rsid w:val="00543C39"/>
    <w:rsid w:val="00543DB9"/>
    <w:rsid w:val="00543E58"/>
    <w:rsid w:val="0054428B"/>
    <w:rsid w:val="00544C59"/>
    <w:rsid w:val="00544FA3"/>
    <w:rsid w:val="00544FD6"/>
    <w:rsid w:val="00545013"/>
    <w:rsid w:val="00545443"/>
    <w:rsid w:val="0054580C"/>
    <w:rsid w:val="0054581F"/>
    <w:rsid w:val="005459F3"/>
    <w:rsid w:val="00545C3C"/>
    <w:rsid w:val="005462E8"/>
    <w:rsid w:val="00546481"/>
    <w:rsid w:val="005467D6"/>
    <w:rsid w:val="00546EA4"/>
    <w:rsid w:val="00546EC4"/>
    <w:rsid w:val="00547047"/>
    <w:rsid w:val="00547B06"/>
    <w:rsid w:val="00547B1D"/>
    <w:rsid w:val="00550104"/>
    <w:rsid w:val="00550921"/>
    <w:rsid w:val="00550D42"/>
    <w:rsid w:val="005513D0"/>
    <w:rsid w:val="005516FE"/>
    <w:rsid w:val="00551F84"/>
    <w:rsid w:val="00553216"/>
    <w:rsid w:val="00553689"/>
    <w:rsid w:val="00554678"/>
    <w:rsid w:val="005547AD"/>
    <w:rsid w:val="0055499F"/>
    <w:rsid w:val="00554F3B"/>
    <w:rsid w:val="00555199"/>
    <w:rsid w:val="00555391"/>
    <w:rsid w:val="005560B1"/>
    <w:rsid w:val="00556935"/>
    <w:rsid w:val="00556C4D"/>
    <w:rsid w:val="00557437"/>
    <w:rsid w:val="00557646"/>
    <w:rsid w:val="005603BE"/>
    <w:rsid w:val="00560BE6"/>
    <w:rsid w:val="00560BEC"/>
    <w:rsid w:val="00560FEB"/>
    <w:rsid w:val="00561548"/>
    <w:rsid w:val="00561A95"/>
    <w:rsid w:val="00561BE5"/>
    <w:rsid w:val="00561F5A"/>
    <w:rsid w:val="00562346"/>
    <w:rsid w:val="0056261E"/>
    <w:rsid w:val="00562755"/>
    <w:rsid w:val="005632DD"/>
    <w:rsid w:val="00563BAB"/>
    <w:rsid w:val="00563C73"/>
    <w:rsid w:val="00563D59"/>
    <w:rsid w:val="00564B09"/>
    <w:rsid w:val="00565CC5"/>
    <w:rsid w:val="005661B1"/>
    <w:rsid w:val="0056626D"/>
    <w:rsid w:val="00566805"/>
    <w:rsid w:val="00567370"/>
    <w:rsid w:val="00567677"/>
    <w:rsid w:val="0056782D"/>
    <w:rsid w:val="00567EB7"/>
    <w:rsid w:val="00570050"/>
    <w:rsid w:val="005709B6"/>
    <w:rsid w:val="005710F8"/>
    <w:rsid w:val="0057197D"/>
    <w:rsid w:val="00571B7F"/>
    <w:rsid w:val="0057241C"/>
    <w:rsid w:val="00572425"/>
    <w:rsid w:val="005726B2"/>
    <w:rsid w:val="00572776"/>
    <w:rsid w:val="005727A3"/>
    <w:rsid w:val="00572F14"/>
    <w:rsid w:val="00572FF8"/>
    <w:rsid w:val="005732A3"/>
    <w:rsid w:val="00573C31"/>
    <w:rsid w:val="00573E69"/>
    <w:rsid w:val="005741AF"/>
    <w:rsid w:val="005743DA"/>
    <w:rsid w:val="00574467"/>
    <w:rsid w:val="0057472B"/>
    <w:rsid w:val="0057474F"/>
    <w:rsid w:val="00574A90"/>
    <w:rsid w:val="00574ABE"/>
    <w:rsid w:val="005755AF"/>
    <w:rsid w:val="0057632B"/>
    <w:rsid w:val="00576DAE"/>
    <w:rsid w:val="0057705F"/>
    <w:rsid w:val="0057730B"/>
    <w:rsid w:val="00577683"/>
    <w:rsid w:val="00577D37"/>
    <w:rsid w:val="005803A7"/>
    <w:rsid w:val="00580891"/>
    <w:rsid w:val="00580B55"/>
    <w:rsid w:val="00581BB3"/>
    <w:rsid w:val="005821BE"/>
    <w:rsid w:val="005824E3"/>
    <w:rsid w:val="0058262D"/>
    <w:rsid w:val="00583128"/>
    <w:rsid w:val="0058318D"/>
    <w:rsid w:val="00583228"/>
    <w:rsid w:val="00583647"/>
    <w:rsid w:val="00583DDD"/>
    <w:rsid w:val="00583FAB"/>
    <w:rsid w:val="005849B2"/>
    <w:rsid w:val="005849B3"/>
    <w:rsid w:val="00584CD0"/>
    <w:rsid w:val="00584D11"/>
    <w:rsid w:val="00585D8F"/>
    <w:rsid w:val="005864D3"/>
    <w:rsid w:val="005869CB"/>
    <w:rsid w:val="00586D69"/>
    <w:rsid w:val="00587033"/>
    <w:rsid w:val="00587509"/>
    <w:rsid w:val="005876D1"/>
    <w:rsid w:val="00587786"/>
    <w:rsid w:val="0058787B"/>
    <w:rsid w:val="00590598"/>
    <w:rsid w:val="00590855"/>
    <w:rsid w:val="00591540"/>
    <w:rsid w:val="00591A78"/>
    <w:rsid w:val="005920BD"/>
    <w:rsid w:val="005922B5"/>
    <w:rsid w:val="005927C1"/>
    <w:rsid w:val="00592AD9"/>
    <w:rsid w:val="00593AE8"/>
    <w:rsid w:val="00593E40"/>
    <w:rsid w:val="00594378"/>
    <w:rsid w:val="0059498D"/>
    <w:rsid w:val="005952D2"/>
    <w:rsid w:val="005958F8"/>
    <w:rsid w:val="00595F11"/>
    <w:rsid w:val="0059662C"/>
    <w:rsid w:val="00596876"/>
    <w:rsid w:val="00596D65"/>
    <w:rsid w:val="0059718C"/>
    <w:rsid w:val="005974A8"/>
    <w:rsid w:val="005A045B"/>
    <w:rsid w:val="005A0B33"/>
    <w:rsid w:val="005A105E"/>
    <w:rsid w:val="005A13D3"/>
    <w:rsid w:val="005A15E5"/>
    <w:rsid w:val="005A21C9"/>
    <w:rsid w:val="005A28A0"/>
    <w:rsid w:val="005A2B53"/>
    <w:rsid w:val="005A2D65"/>
    <w:rsid w:val="005A3013"/>
    <w:rsid w:val="005A3579"/>
    <w:rsid w:val="005A3909"/>
    <w:rsid w:val="005A3A58"/>
    <w:rsid w:val="005A430C"/>
    <w:rsid w:val="005A4C54"/>
    <w:rsid w:val="005A50DC"/>
    <w:rsid w:val="005A521C"/>
    <w:rsid w:val="005A5860"/>
    <w:rsid w:val="005A5DD7"/>
    <w:rsid w:val="005A6069"/>
    <w:rsid w:val="005A67FE"/>
    <w:rsid w:val="005A7C25"/>
    <w:rsid w:val="005B0239"/>
    <w:rsid w:val="005B0608"/>
    <w:rsid w:val="005B087F"/>
    <w:rsid w:val="005B1670"/>
    <w:rsid w:val="005B16D0"/>
    <w:rsid w:val="005B1AFC"/>
    <w:rsid w:val="005B1B7E"/>
    <w:rsid w:val="005B1C04"/>
    <w:rsid w:val="005B2669"/>
    <w:rsid w:val="005B26DA"/>
    <w:rsid w:val="005B2809"/>
    <w:rsid w:val="005B2BC8"/>
    <w:rsid w:val="005B31B7"/>
    <w:rsid w:val="005B365F"/>
    <w:rsid w:val="005B371C"/>
    <w:rsid w:val="005B3BA2"/>
    <w:rsid w:val="005B3C4D"/>
    <w:rsid w:val="005B3CC8"/>
    <w:rsid w:val="005B4622"/>
    <w:rsid w:val="005B4919"/>
    <w:rsid w:val="005B4EA3"/>
    <w:rsid w:val="005B5801"/>
    <w:rsid w:val="005B5812"/>
    <w:rsid w:val="005B585A"/>
    <w:rsid w:val="005B5F1F"/>
    <w:rsid w:val="005B65B3"/>
    <w:rsid w:val="005B66B7"/>
    <w:rsid w:val="005B6FF5"/>
    <w:rsid w:val="005B709E"/>
    <w:rsid w:val="005B7838"/>
    <w:rsid w:val="005B78C0"/>
    <w:rsid w:val="005B7CFB"/>
    <w:rsid w:val="005B7ED0"/>
    <w:rsid w:val="005C00F1"/>
    <w:rsid w:val="005C0873"/>
    <w:rsid w:val="005C0877"/>
    <w:rsid w:val="005C1950"/>
    <w:rsid w:val="005C199E"/>
    <w:rsid w:val="005C1B19"/>
    <w:rsid w:val="005C1E9A"/>
    <w:rsid w:val="005C20C4"/>
    <w:rsid w:val="005C219E"/>
    <w:rsid w:val="005C227A"/>
    <w:rsid w:val="005C2A70"/>
    <w:rsid w:val="005C2F71"/>
    <w:rsid w:val="005C3433"/>
    <w:rsid w:val="005C4744"/>
    <w:rsid w:val="005C4EC7"/>
    <w:rsid w:val="005C52A0"/>
    <w:rsid w:val="005C5A6D"/>
    <w:rsid w:val="005C6187"/>
    <w:rsid w:val="005C62A1"/>
    <w:rsid w:val="005C6A2B"/>
    <w:rsid w:val="005C6E0F"/>
    <w:rsid w:val="005C7A4C"/>
    <w:rsid w:val="005D0147"/>
    <w:rsid w:val="005D015B"/>
    <w:rsid w:val="005D0A69"/>
    <w:rsid w:val="005D16B8"/>
    <w:rsid w:val="005D26C8"/>
    <w:rsid w:val="005D2BF9"/>
    <w:rsid w:val="005D2C21"/>
    <w:rsid w:val="005D3026"/>
    <w:rsid w:val="005D30A8"/>
    <w:rsid w:val="005D3646"/>
    <w:rsid w:val="005D36C7"/>
    <w:rsid w:val="005D3D0F"/>
    <w:rsid w:val="005D4030"/>
    <w:rsid w:val="005D4478"/>
    <w:rsid w:val="005D44F8"/>
    <w:rsid w:val="005D4AB7"/>
    <w:rsid w:val="005D4C0D"/>
    <w:rsid w:val="005D4C64"/>
    <w:rsid w:val="005D4D7B"/>
    <w:rsid w:val="005D590D"/>
    <w:rsid w:val="005D5F2C"/>
    <w:rsid w:val="005D6252"/>
    <w:rsid w:val="005D6ADD"/>
    <w:rsid w:val="005D6C49"/>
    <w:rsid w:val="005D6D4B"/>
    <w:rsid w:val="005D7BDD"/>
    <w:rsid w:val="005D7C04"/>
    <w:rsid w:val="005D7C2B"/>
    <w:rsid w:val="005D7CFA"/>
    <w:rsid w:val="005D7DB8"/>
    <w:rsid w:val="005D7F85"/>
    <w:rsid w:val="005E00DC"/>
    <w:rsid w:val="005E015A"/>
    <w:rsid w:val="005E061E"/>
    <w:rsid w:val="005E065D"/>
    <w:rsid w:val="005E110D"/>
    <w:rsid w:val="005E1DAE"/>
    <w:rsid w:val="005E1F9E"/>
    <w:rsid w:val="005E267C"/>
    <w:rsid w:val="005E2788"/>
    <w:rsid w:val="005E2A5E"/>
    <w:rsid w:val="005E2BCC"/>
    <w:rsid w:val="005E38D0"/>
    <w:rsid w:val="005E4155"/>
    <w:rsid w:val="005E4368"/>
    <w:rsid w:val="005E49B0"/>
    <w:rsid w:val="005E49C7"/>
    <w:rsid w:val="005E4FAD"/>
    <w:rsid w:val="005E5147"/>
    <w:rsid w:val="005E5405"/>
    <w:rsid w:val="005E5642"/>
    <w:rsid w:val="005E56BC"/>
    <w:rsid w:val="005E5863"/>
    <w:rsid w:val="005E586A"/>
    <w:rsid w:val="005E701C"/>
    <w:rsid w:val="005E705E"/>
    <w:rsid w:val="005E7385"/>
    <w:rsid w:val="005E75FA"/>
    <w:rsid w:val="005E7CDF"/>
    <w:rsid w:val="005E7FED"/>
    <w:rsid w:val="005F00DF"/>
    <w:rsid w:val="005F055E"/>
    <w:rsid w:val="005F0658"/>
    <w:rsid w:val="005F068B"/>
    <w:rsid w:val="005F0EDD"/>
    <w:rsid w:val="005F0F89"/>
    <w:rsid w:val="005F113D"/>
    <w:rsid w:val="005F1219"/>
    <w:rsid w:val="005F1C2F"/>
    <w:rsid w:val="005F209B"/>
    <w:rsid w:val="005F368D"/>
    <w:rsid w:val="005F53E6"/>
    <w:rsid w:val="005F64A9"/>
    <w:rsid w:val="005F6C31"/>
    <w:rsid w:val="005F72E5"/>
    <w:rsid w:val="005F7401"/>
    <w:rsid w:val="005F7871"/>
    <w:rsid w:val="005F7976"/>
    <w:rsid w:val="005F7BFD"/>
    <w:rsid w:val="005F7E23"/>
    <w:rsid w:val="005F7F12"/>
    <w:rsid w:val="00600E43"/>
    <w:rsid w:val="0060160F"/>
    <w:rsid w:val="00601663"/>
    <w:rsid w:val="00601D8D"/>
    <w:rsid w:val="0060257A"/>
    <w:rsid w:val="00602A8E"/>
    <w:rsid w:val="00602E81"/>
    <w:rsid w:val="00602FF1"/>
    <w:rsid w:val="00603290"/>
    <w:rsid w:val="00603AD7"/>
    <w:rsid w:val="00603B2C"/>
    <w:rsid w:val="00603CB2"/>
    <w:rsid w:val="00603CF0"/>
    <w:rsid w:val="0060452E"/>
    <w:rsid w:val="00604A01"/>
    <w:rsid w:val="00604A5D"/>
    <w:rsid w:val="00605CD1"/>
    <w:rsid w:val="006065EA"/>
    <w:rsid w:val="006070B8"/>
    <w:rsid w:val="0060735E"/>
    <w:rsid w:val="006073EA"/>
    <w:rsid w:val="006076A1"/>
    <w:rsid w:val="0061004D"/>
    <w:rsid w:val="00610054"/>
    <w:rsid w:val="006102FF"/>
    <w:rsid w:val="006106E3"/>
    <w:rsid w:val="00610A68"/>
    <w:rsid w:val="006121F3"/>
    <w:rsid w:val="00612F1D"/>
    <w:rsid w:val="006139CF"/>
    <w:rsid w:val="00613C2E"/>
    <w:rsid w:val="006143C2"/>
    <w:rsid w:val="00614610"/>
    <w:rsid w:val="00614649"/>
    <w:rsid w:val="006146BA"/>
    <w:rsid w:val="0061476B"/>
    <w:rsid w:val="00614831"/>
    <w:rsid w:val="00614A2C"/>
    <w:rsid w:val="00614CB6"/>
    <w:rsid w:val="00614D71"/>
    <w:rsid w:val="006157DD"/>
    <w:rsid w:val="006158FE"/>
    <w:rsid w:val="00616BDD"/>
    <w:rsid w:val="00616E92"/>
    <w:rsid w:val="00616F75"/>
    <w:rsid w:val="00616FB8"/>
    <w:rsid w:val="00617714"/>
    <w:rsid w:val="006177DC"/>
    <w:rsid w:val="00620282"/>
    <w:rsid w:val="00620812"/>
    <w:rsid w:val="00621482"/>
    <w:rsid w:val="00621695"/>
    <w:rsid w:val="00621FED"/>
    <w:rsid w:val="00622230"/>
    <w:rsid w:val="00622304"/>
    <w:rsid w:val="00622A5B"/>
    <w:rsid w:val="0062304A"/>
    <w:rsid w:val="006238F5"/>
    <w:rsid w:val="00624371"/>
    <w:rsid w:val="006244AC"/>
    <w:rsid w:val="00624807"/>
    <w:rsid w:val="00624921"/>
    <w:rsid w:val="00624ADA"/>
    <w:rsid w:val="00624BB6"/>
    <w:rsid w:val="00626464"/>
    <w:rsid w:val="00626983"/>
    <w:rsid w:val="00626D1B"/>
    <w:rsid w:val="00626DA3"/>
    <w:rsid w:val="00626F17"/>
    <w:rsid w:val="00627314"/>
    <w:rsid w:val="006278AD"/>
    <w:rsid w:val="00627AC7"/>
    <w:rsid w:val="00627C7E"/>
    <w:rsid w:val="0063022B"/>
    <w:rsid w:val="00630733"/>
    <w:rsid w:val="006307D5"/>
    <w:rsid w:val="006308CA"/>
    <w:rsid w:val="006313D5"/>
    <w:rsid w:val="006315BB"/>
    <w:rsid w:val="00631747"/>
    <w:rsid w:val="00631A78"/>
    <w:rsid w:val="00631E79"/>
    <w:rsid w:val="00632681"/>
    <w:rsid w:val="0063288B"/>
    <w:rsid w:val="00632EEF"/>
    <w:rsid w:val="00632FC1"/>
    <w:rsid w:val="00633195"/>
    <w:rsid w:val="00633A66"/>
    <w:rsid w:val="00633A92"/>
    <w:rsid w:val="00633B1C"/>
    <w:rsid w:val="006340C4"/>
    <w:rsid w:val="00634200"/>
    <w:rsid w:val="006342C2"/>
    <w:rsid w:val="006345CD"/>
    <w:rsid w:val="00634958"/>
    <w:rsid w:val="00634B3B"/>
    <w:rsid w:val="00635333"/>
    <w:rsid w:val="00635534"/>
    <w:rsid w:val="006356F2"/>
    <w:rsid w:val="00635E5D"/>
    <w:rsid w:val="00636417"/>
    <w:rsid w:val="00636843"/>
    <w:rsid w:val="006374B6"/>
    <w:rsid w:val="0063757E"/>
    <w:rsid w:val="00637802"/>
    <w:rsid w:val="006379AC"/>
    <w:rsid w:val="0064036D"/>
    <w:rsid w:val="00640721"/>
    <w:rsid w:val="00641BCD"/>
    <w:rsid w:val="00641C9B"/>
    <w:rsid w:val="0064200F"/>
    <w:rsid w:val="00642761"/>
    <w:rsid w:val="0064284C"/>
    <w:rsid w:val="00643096"/>
    <w:rsid w:val="00643D27"/>
    <w:rsid w:val="00643E5B"/>
    <w:rsid w:val="006440BB"/>
    <w:rsid w:val="00644137"/>
    <w:rsid w:val="00644414"/>
    <w:rsid w:val="006445F9"/>
    <w:rsid w:val="006449CB"/>
    <w:rsid w:val="006450F5"/>
    <w:rsid w:val="0064645D"/>
    <w:rsid w:val="00646A74"/>
    <w:rsid w:val="00646A99"/>
    <w:rsid w:val="00646F29"/>
    <w:rsid w:val="0064767B"/>
    <w:rsid w:val="00647AC7"/>
    <w:rsid w:val="00647C58"/>
    <w:rsid w:val="00647F06"/>
    <w:rsid w:val="00650104"/>
    <w:rsid w:val="00650546"/>
    <w:rsid w:val="00650EEF"/>
    <w:rsid w:val="00650F42"/>
    <w:rsid w:val="00651890"/>
    <w:rsid w:val="00651E1D"/>
    <w:rsid w:val="00652522"/>
    <w:rsid w:val="006526CD"/>
    <w:rsid w:val="00652D56"/>
    <w:rsid w:val="00652ECB"/>
    <w:rsid w:val="0065334C"/>
    <w:rsid w:val="00653C35"/>
    <w:rsid w:val="00653F9A"/>
    <w:rsid w:val="00654442"/>
    <w:rsid w:val="00654E57"/>
    <w:rsid w:val="00654F39"/>
    <w:rsid w:val="0065533D"/>
    <w:rsid w:val="006554F1"/>
    <w:rsid w:val="00655DF0"/>
    <w:rsid w:val="00655FFF"/>
    <w:rsid w:val="00656474"/>
    <w:rsid w:val="00656811"/>
    <w:rsid w:val="00657A3B"/>
    <w:rsid w:val="006601EA"/>
    <w:rsid w:val="00660DB9"/>
    <w:rsid w:val="00661039"/>
    <w:rsid w:val="006610FE"/>
    <w:rsid w:val="00661159"/>
    <w:rsid w:val="00661845"/>
    <w:rsid w:val="006619C1"/>
    <w:rsid w:val="00661A60"/>
    <w:rsid w:val="00661BF7"/>
    <w:rsid w:val="00661E0E"/>
    <w:rsid w:val="00662B55"/>
    <w:rsid w:val="00662F33"/>
    <w:rsid w:val="00662FFF"/>
    <w:rsid w:val="0066315C"/>
    <w:rsid w:val="0066330B"/>
    <w:rsid w:val="0066337E"/>
    <w:rsid w:val="0066343E"/>
    <w:rsid w:val="006637FF"/>
    <w:rsid w:val="00664365"/>
    <w:rsid w:val="00664415"/>
    <w:rsid w:val="0066459A"/>
    <w:rsid w:val="0066556D"/>
    <w:rsid w:val="00665C43"/>
    <w:rsid w:val="00665E79"/>
    <w:rsid w:val="00666036"/>
    <w:rsid w:val="006664E8"/>
    <w:rsid w:val="00666A53"/>
    <w:rsid w:val="00666B58"/>
    <w:rsid w:val="006676E5"/>
    <w:rsid w:val="00667826"/>
    <w:rsid w:val="00667BCD"/>
    <w:rsid w:val="00667CB0"/>
    <w:rsid w:val="00670287"/>
    <w:rsid w:val="006705EE"/>
    <w:rsid w:val="006706F2"/>
    <w:rsid w:val="00670708"/>
    <w:rsid w:val="00671F36"/>
    <w:rsid w:val="00672354"/>
    <w:rsid w:val="00672495"/>
    <w:rsid w:val="00672A64"/>
    <w:rsid w:val="00673FEF"/>
    <w:rsid w:val="00674090"/>
    <w:rsid w:val="0067420B"/>
    <w:rsid w:val="00674481"/>
    <w:rsid w:val="00674A54"/>
    <w:rsid w:val="0067509B"/>
    <w:rsid w:val="00675433"/>
    <w:rsid w:val="006756BD"/>
    <w:rsid w:val="0067587B"/>
    <w:rsid w:val="00675ADA"/>
    <w:rsid w:val="00675BD3"/>
    <w:rsid w:val="00675C4F"/>
    <w:rsid w:val="00676E40"/>
    <w:rsid w:val="00676E4A"/>
    <w:rsid w:val="00676F27"/>
    <w:rsid w:val="0067711D"/>
    <w:rsid w:val="00677834"/>
    <w:rsid w:val="00677A39"/>
    <w:rsid w:val="006801FE"/>
    <w:rsid w:val="00680559"/>
    <w:rsid w:val="00680C59"/>
    <w:rsid w:val="00680E9C"/>
    <w:rsid w:val="00680EF3"/>
    <w:rsid w:val="00681049"/>
    <w:rsid w:val="00681134"/>
    <w:rsid w:val="006811C9"/>
    <w:rsid w:val="006819CE"/>
    <w:rsid w:val="00681F5A"/>
    <w:rsid w:val="0068219B"/>
    <w:rsid w:val="00682948"/>
    <w:rsid w:val="00682A12"/>
    <w:rsid w:val="00682F69"/>
    <w:rsid w:val="00683293"/>
    <w:rsid w:val="006838B0"/>
    <w:rsid w:val="00683B99"/>
    <w:rsid w:val="00683D75"/>
    <w:rsid w:val="00683D7E"/>
    <w:rsid w:val="00683F08"/>
    <w:rsid w:val="006843AD"/>
    <w:rsid w:val="006843D7"/>
    <w:rsid w:val="0068447B"/>
    <w:rsid w:val="006849DA"/>
    <w:rsid w:val="00684E55"/>
    <w:rsid w:val="00684E7A"/>
    <w:rsid w:val="0068628A"/>
    <w:rsid w:val="00686450"/>
    <w:rsid w:val="006866F7"/>
    <w:rsid w:val="00686A57"/>
    <w:rsid w:val="00686D92"/>
    <w:rsid w:val="00687430"/>
    <w:rsid w:val="00687437"/>
    <w:rsid w:val="00687F73"/>
    <w:rsid w:val="0069088B"/>
    <w:rsid w:val="0069136A"/>
    <w:rsid w:val="00691E8C"/>
    <w:rsid w:val="00692118"/>
    <w:rsid w:val="006922AB"/>
    <w:rsid w:val="00692887"/>
    <w:rsid w:val="00693428"/>
    <w:rsid w:val="00694182"/>
    <w:rsid w:val="00694C84"/>
    <w:rsid w:val="00694E1F"/>
    <w:rsid w:val="006954DE"/>
    <w:rsid w:val="00695E26"/>
    <w:rsid w:val="00695E5B"/>
    <w:rsid w:val="0069636E"/>
    <w:rsid w:val="006963F0"/>
    <w:rsid w:val="00696696"/>
    <w:rsid w:val="00696C62"/>
    <w:rsid w:val="00696E15"/>
    <w:rsid w:val="00697248"/>
    <w:rsid w:val="006974B4"/>
    <w:rsid w:val="0069780A"/>
    <w:rsid w:val="006978E3"/>
    <w:rsid w:val="00697FDB"/>
    <w:rsid w:val="006A01A0"/>
    <w:rsid w:val="006A01D7"/>
    <w:rsid w:val="006A023A"/>
    <w:rsid w:val="006A04D6"/>
    <w:rsid w:val="006A05C8"/>
    <w:rsid w:val="006A06AA"/>
    <w:rsid w:val="006A0780"/>
    <w:rsid w:val="006A0D01"/>
    <w:rsid w:val="006A0E21"/>
    <w:rsid w:val="006A11D3"/>
    <w:rsid w:val="006A1A70"/>
    <w:rsid w:val="006A1D45"/>
    <w:rsid w:val="006A2072"/>
    <w:rsid w:val="006A2409"/>
    <w:rsid w:val="006A284F"/>
    <w:rsid w:val="006A2E5C"/>
    <w:rsid w:val="006A4245"/>
    <w:rsid w:val="006A4538"/>
    <w:rsid w:val="006A4897"/>
    <w:rsid w:val="006A4CE9"/>
    <w:rsid w:val="006A4E7E"/>
    <w:rsid w:val="006A4ED2"/>
    <w:rsid w:val="006A4FA4"/>
    <w:rsid w:val="006A5D42"/>
    <w:rsid w:val="006A605F"/>
    <w:rsid w:val="006A6C12"/>
    <w:rsid w:val="006A6D03"/>
    <w:rsid w:val="006A737B"/>
    <w:rsid w:val="006A78A0"/>
    <w:rsid w:val="006B00D9"/>
    <w:rsid w:val="006B046F"/>
    <w:rsid w:val="006B06B9"/>
    <w:rsid w:val="006B0F2E"/>
    <w:rsid w:val="006B0FB1"/>
    <w:rsid w:val="006B1797"/>
    <w:rsid w:val="006B19B4"/>
    <w:rsid w:val="006B1E5F"/>
    <w:rsid w:val="006B2935"/>
    <w:rsid w:val="006B2A01"/>
    <w:rsid w:val="006B3B82"/>
    <w:rsid w:val="006B4089"/>
    <w:rsid w:val="006B4117"/>
    <w:rsid w:val="006B462B"/>
    <w:rsid w:val="006B4EAA"/>
    <w:rsid w:val="006B544D"/>
    <w:rsid w:val="006B5BFC"/>
    <w:rsid w:val="006B6339"/>
    <w:rsid w:val="006B63A8"/>
    <w:rsid w:val="006B63D6"/>
    <w:rsid w:val="006B676F"/>
    <w:rsid w:val="006B73A5"/>
    <w:rsid w:val="006B76F9"/>
    <w:rsid w:val="006C0A34"/>
    <w:rsid w:val="006C10F6"/>
    <w:rsid w:val="006C193C"/>
    <w:rsid w:val="006C194F"/>
    <w:rsid w:val="006C1EF4"/>
    <w:rsid w:val="006C2177"/>
    <w:rsid w:val="006C25F9"/>
    <w:rsid w:val="006C2855"/>
    <w:rsid w:val="006C2A69"/>
    <w:rsid w:val="006C2D62"/>
    <w:rsid w:val="006C31EB"/>
    <w:rsid w:val="006C33C1"/>
    <w:rsid w:val="006C3EE6"/>
    <w:rsid w:val="006C3EFB"/>
    <w:rsid w:val="006C3FAF"/>
    <w:rsid w:val="006C4407"/>
    <w:rsid w:val="006C47AD"/>
    <w:rsid w:val="006C503D"/>
    <w:rsid w:val="006C5738"/>
    <w:rsid w:val="006C5F08"/>
    <w:rsid w:val="006C6380"/>
    <w:rsid w:val="006C6DDD"/>
    <w:rsid w:val="006C7385"/>
    <w:rsid w:val="006C79E5"/>
    <w:rsid w:val="006C7C8A"/>
    <w:rsid w:val="006C7CB1"/>
    <w:rsid w:val="006D0371"/>
    <w:rsid w:val="006D06C0"/>
    <w:rsid w:val="006D07EE"/>
    <w:rsid w:val="006D0C05"/>
    <w:rsid w:val="006D0EA9"/>
    <w:rsid w:val="006D10EC"/>
    <w:rsid w:val="006D12AE"/>
    <w:rsid w:val="006D159A"/>
    <w:rsid w:val="006D1696"/>
    <w:rsid w:val="006D1CCF"/>
    <w:rsid w:val="006D20BB"/>
    <w:rsid w:val="006D2381"/>
    <w:rsid w:val="006D2567"/>
    <w:rsid w:val="006D3405"/>
    <w:rsid w:val="006D369E"/>
    <w:rsid w:val="006D3F36"/>
    <w:rsid w:val="006D406D"/>
    <w:rsid w:val="006D4184"/>
    <w:rsid w:val="006D4521"/>
    <w:rsid w:val="006D5244"/>
    <w:rsid w:val="006D5601"/>
    <w:rsid w:val="006D5C36"/>
    <w:rsid w:val="006D6953"/>
    <w:rsid w:val="006D6D27"/>
    <w:rsid w:val="006D6D7D"/>
    <w:rsid w:val="006E057D"/>
    <w:rsid w:val="006E0ED7"/>
    <w:rsid w:val="006E0F19"/>
    <w:rsid w:val="006E1430"/>
    <w:rsid w:val="006E14A4"/>
    <w:rsid w:val="006E18DF"/>
    <w:rsid w:val="006E1A96"/>
    <w:rsid w:val="006E1AC2"/>
    <w:rsid w:val="006E238D"/>
    <w:rsid w:val="006E2509"/>
    <w:rsid w:val="006E2C10"/>
    <w:rsid w:val="006E2CBE"/>
    <w:rsid w:val="006E2E3A"/>
    <w:rsid w:val="006E32F5"/>
    <w:rsid w:val="006E3359"/>
    <w:rsid w:val="006E3638"/>
    <w:rsid w:val="006E3DB4"/>
    <w:rsid w:val="006E4025"/>
    <w:rsid w:val="006E49A2"/>
    <w:rsid w:val="006E5FE8"/>
    <w:rsid w:val="006E7675"/>
    <w:rsid w:val="006E7B58"/>
    <w:rsid w:val="006F0323"/>
    <w:rsid w:val="006F0AF0"/>
    <w:rsid w:val="006F0BDA"/>
    <w:rsid w:val="006F100A"/>
    <w:rsid w:val="006F160C"/>
    <w:rsid w:val="006F21E5"/>
    <w:rsid w:val="006F2801"/>
    <w:rsid w:val="006F2A3A"/>
    <w:rsid w:val="006F2C7D"/>
    <w:rsid w:val="006F2E8D"/>
    <w:rsid w:val="006F31A1"/>
    <w:rsid w:val="006F3297"/>
    <w:rsid w:val="006F335E"/>
    <w:rsid w:val="006F3638"/>
    <w:rsid w:val="006F366C"/>
    <w:rsid w:val="006F3C46"/>
    <w:rsid w:val="006F3F87"/>
    <w:rsid w:val="006F4237"/>
    <w:rsid w:val="006F4274"/>
    <w:rsid w:val="006F4884"/>
    <w:rsid w:val="006F4BB4"/>
    <w:rsid w:val="006F512B"/>
    <w:rsid w:val="006F569D"/>
    <w:rsid w:val="006F5980"/>
    <w:rsid w:val="006F6227"/>
    <w:rsid w:val="006F642F"/>
    <w:rsid w:val="006F686B"/>
    <w:rsid w:val="006F6A78"/>
    <w:rsid w:val="006F6EC8"/>
    <w:rsid w:val="006F7F8C"/>
    <w:rsid w:val="007000CF"/>
    <w:rsid w:val="007001CD"/>
    <w:rsid w:val="007008AA"/>
    <w:rsid w:val="007009AE"/>
    <w:rsid w:val="00701C54"/>
    <w:rsid w:val="007032CA"/>
    <w:rsid w:val="00703758"/>
    <w:rsid w:val="00703B0D"/>
    <w:rsid w:val="00703F03"/>
    <w:rsid w:val="007042CB"/>
    <w:rsid w:val="0070442F"/>
    <w:rsid w:val="0070487D"/>
    <w:rsid w:val="007049C8"/>
    <w:rsid w:val="00704EA2"/>
    <w:rsid w:val="00705BED"/>
    <w:rsid w:val="007067EA"/>
    <w:rsid w:val="00706841"/>
    <w:rsid w:val="00706857"/>
    <w:rsid w:val="00706B6E"/>
    <w:rsid w:val="0070718A"/>
    <w:rsid w:val="00707704"/>
    <w:rsid w:val="00710465"/>
    <w:rsid w:val="007107BB"/>
    <w:rsid w:val="007107DB"/>
    <w:rsid w:val="007109E3"/>
    <w:rsid w:val="00710A6A"/>
    <w:rsid w:val="00710BF3"/>
    <w:rsid w:val="00711226"/>
    <w:rsid w:val="007120ED"/>
    <w:rsid w:val="007121BB"/>
    <w:rsid w:val="00712385"/>
    <w:rsid w:val="007129B6"/>
    <w:rsid w:val="00712BC3"/>
    <w:rsid w:val="00712CA5"/>
    <w:rsid w:val="0071336F"/>
    <w:rsid w:val="00713BAE"/>
    <w:rsid w:val="00713E9F"/>
    <w:rsid w:val="007144E4"/>
    <w:rsid w:val="007145EB"/>
    <w:rsid w:val="00714660"/>
    <w:rsid w:val="00714AA2"/>
    <w:rsid w:val="00714C17"/>
    <w:rsid w:val="007151BB"/>
    <w:rsid w:val="00715519"/>
    <w:rsid w:val="007155A2"/>
    <w:rsid w:val="0071592D"/>
    <w:rsid w:val="00716264"/>
    <w:rsid w:val="0071640E"/>
    <w:rsid w:val="0071680F"/>
    <w:rsid w:val="00716AC9"/>
    <w:rsid w:val="007176C8"/>
    <w:rsid w:val="007178D5"/>
    <w:rsid w:val="00717BAB"/>
    <w:rsid w:val="00717CC7"/>
    <w:rsid w:val="00717D95"/>
    <w:rsid w:val="0072036D"/>
    <w:rsid w:val="00720761"/>
    <w:rsid w:val="007208F6"/>
    <w:rsid w:val="00720FAC"/>
    <w:rsid w:val="0072104F"/>
    <w:rsid w:val="007210B4"/>
    <w:rsid w:val="007214FA"/>
    <w:rsid w:val="00721CEA"/>
    <w:rsid w:val="00722B42"/>
    <w:rsid w:val="00722C7B"/>
    <w:rsid w:val="007232F0"/>
    <w:rsid w:val="00723339"/>
    <w:rsid w:val="00723C7C"/>
    <w:rsid w:val="00724152"/>
    <w:rsid w:val="007249E0"/>
    <w:rsid w:val="00725231"/>
    <w:rsid w:val="00726063"/>
    <w:rsid w:val="00726575"/>
    <w:rsid w:val="007269BB"/>
    <w:rsid w:val="007270E8"/>
    <w:rsid w:val="0072779C"/>
    <w:rsid w:val="00727F0F"/>
    <w:rsid w:val="007301AA"/>
    <w:rsid w:val="00730310"/>
    <w:rsid w:val="00730311"/>
    <w:rsid w:val="00730653"/>
    <w:rsid w:val="00730836"/>
    <w:rsid w:val="0073098D"/>
    <w:rsid w:val="007310B7"/>
    <w:rsid w:val="007313BC"/>
    <w:rsid w:val="00731424"/>
    <w:rsid w:val="00731F63"/>
    <w:rsid w:val="00732A8E"/>
    <w:rsid w:val="00732D60"/>
    <w:rsid w:val="00732FD0"/>
    <w:rsid w:val="007331F9"/>
    <w:rsid w:val="0073320C"/>
    <w:rsid w:val="00733555"/>
    <w:rsid w:val="0073370D"/>
    <w:rsid w:val="0073399A"/>
    <w:rsid w:val="00734CB4"/>
    <w:rsid w:val="00735557"/>
    <w:rsid w:val="00735605"/>
    <w:rsid w:val="007359BD"/>
    <w:rsid w:val="00735C51"/>
    <w:rsid w:val="00735C66"/>
    <w:rsid w:val="00736752"/>
    <w:rsid w:val="0073694D"/>
    <w:rsid w:val="00737132"/>
    <w:rsid w:val="007377E2"/>
    <w:rsid w:val="00737BF6"/>
    <w:rsid w:val="007406B8"/>
    <w:rsid w:val="00740778"/>
    <w:rsid w:val="00740AFC"/>
    <w:rsid w:val="00741125"/>
    <w:rsid w:val="00741549"/>
    <w:rsid w:val="00741793"/>
    <w:rsid w:val="00741DA7"/>
    <w:rsid w:val="00741F8F"/>
    <w:rsid w:val="007420AA"/>
    <w:rsid w:val="007424CE"/>
    <w:rsid w:val="007426CB"/>
    <w:rsid w:val="00742DE6"/>
    <w:rsid w:val="00743009"/>
    <w:rsid w:val="00743086"/>
    <w:rsid w:val="00743B94"/>
    <w:rsid w:val="007447AF"/>
    <w:rsid w:val="00744BE2"/>
    <w:rsid w:val="00744EC1"/>
    <w:rsid w:val="00745985"/>
    <w:rsid w:val="0074605D"/>
    <w:rsid w:val="00746203"/>
    <w:rsid w:val="0074627F"/>
    <w:rsid w:val="0074642E"/>
    <w:rsid w:val="007464EC"/>
    <w:rsid w:val="00746B8F"/>
    <w:rsid w:val="00746EFE"/>
    <w:rsid w:val="00746F9B"/>
    <w:rsid w:val="007472E6"/>
    <w:rsid w:val="0074732F"/>
    <w:rsid w:val="00747750"/>
    <w:rsid w:val="00747825"/>
    <w:rsid w:val="00747917"/>
    <w:rsid w:val="007479EA"/>
    <w:rsid w:val="00747B64"/>
    <w:rsid w:val="0075024C"/>
    <w:rsid w:val="00750400"/>
    <w:rsid w:val="00750461"/>
    <w:rsid w:val="00750942"/>
    <w:rsid w:val="007509D3"/>
    <w:rsid w:val="00750D38"/>
    <w:rsid w:val="00751AC9"/>
    <w:rsid w:val="00751F49"/>
    <w:rsid w:val="007522F0"/>
    <w:rsid w:val="007524D3"/>
    <w:rsid w:val="00752716"/>
    <w:rsid w:val="00752C9E"/>
    <w:rsid w:val="007536D3"/>
    <w:rsid w:val="00754188"/>
    <w:rsid w:val="00754823"/>
    <w:rsid w:val="00754A96"/>
    <w:rsid w:val="00754A98"/>
    <w:rsid w:val="00755605"/>
    <w:rsid w:val="00755611"/>
    <w:rsid w:val="007556BF"/>
    <w:rsid w:val="00755D21"/>
    <w:rsid w:val="00756330"/>
    <w:rsid w:val="007564D4"/>
    <w:rsid w:val="00757A95"/>
    <w:rsid w:val="007604B8"/>
    <w:rsid w:val="00760A8C"/>
    <w:rsid w:val="00760CFC"/>
    <w:rsid w:val="0076112A"/>
    <w:rsid w:val="00761449"/>
    <w:rsid w:val="0076162D"/>
    <w:rsid w:val="0076173F"/>
    <w:rsid w:val="007617F5"/>
    <w:rsid w:val="00761C20"/>
    <w:rsid w:val="00761FFE"/>
    <w:rsid w:val="00762411"/>
    <w:rsid w:val="007629D3"/>
    <w:rsid w:val="00762CE9"/>
    <w:rsid w:val="007632FA"/>
    <w:rsid w:val="00764235"/>
    <w:rsid w:val="0076491E"/>
    <w:rsid w:val="00765130"/>
    <w:rsid w:val="007652A8"/>
    <w:rsid w:val="007654BB"/>
    <w:rsid w:val="00765A3E"/>
    <w:rsid w:val="00765C18"/>
    <w:rsid w:val="007663F3"/>
    <w:rsid w:val="00766C8F"/>
    <w:rsid w:val="007677CA"/>
    <w:rsid w:val="00767879"/>
    <w:rsid w:val="00767AB2"/>
    <w:rsid w:val="00767D1F"/>
    <w:rsid w:val="00770017"/>
    <w:rsid w:val="0077004B"/>
    <w:rsid w:val="007701B2"/>
    <w:rsid w:val="00770B80"/>
    <w:rsid w:val="00770CC3"/>
    <w:rsid w:val="00770E67"/>
    <w:rsid w:val="007718EF"/>
    <w:rsid w:val="00771CDA"/>
    <w:rsid w:val="00773007"/>
    <w:rsid w:val="00773AE3"/>
    <w:rsid w:val="007748F0"/>
    <w:rsid w:val="00774EA7"/>
    <w:rsid w:val="00774EFA"/>
    <w:rsid w:val="00775245"/>
    <w:rsid w:val="00775379"/>
    <w:rsid w:val="007754D8"/>
    <w:rsid w:val="00775916"/>
    <w:rsid w:val="00775B1E"/>
    <w:rsid w:val="00775EF6"/>
    <w:rsid w:val="007761BA"/>
    <w:rsid w:val="007769B2"/>
    <w:rsid w:val="00776A2E"/>
    <w:rsid w:val="00776B02"/>
    <w:rsid w:val="00776C57"/>
    <w:rsid w:val="00777821"/>
    <w:rsid w:val="00777FF9"/>
    <w:rsid w:val="0078054C"/>
    <w:rsid w:val="00780877"/>
    <w:rsid w:val="00780A27"/>
    <w:rsid w:val="00780F94"/>
    <w:rsid w:val="00781163"/>
    <w:rsid w:val="00781607"/>
    <w:rsid w:val="00781742"/>
    <w:rsid w:val="00781FD1"/>
    <w:rsid w:val="007823EC"/>
    <w:rsid w:val="007828FA"/>
    <w:rsid w:val="00782F73"/>
    <w:rsid w:val="00783267"/>
    <w:rsid w:val="007834C0"/>
    <w:rsid w:val="007836D3"/>
    <w:rsid w:val="00783C63"/>
    <w:rsid w:val="00783D71"/>
    <w:rsid w:val="00783EC0"/>
    <w:rsid w:val="00784785"/>
    <w:rsid w:val="00784886"/>
    <w:rsid w:val="007853B9"/>
    <w:rsid w:val="007857E4"/>
    <w:rsid w:val="00785991"/>
    <w:rsid w:val="00785B1B"/>
    <w:rsid w:val="00785B9A"/>
    <w:rsid w:val="007864C7"/>
    <w:rsid w:val="00786733"/>
    <w:rsid w:val="00787A9E"/>
    <w:rsid w:val="00787B17"/>
    <w:rsid w:val="00787BE8"/>
    <w:rsid w:val="00787C9C"/>
    <w:rsid w:val="00787D40"/>
    <w:rsid w:val="007903A9"/>
    <w:rsid w:val="0079069B"/>
    <w:rsid w:val="0079117A"/>
    <w:rsid w:val="007911A3"/>
    <w:rsid w:val="00791211"/>
    <w:rsid w:val="00791F3C"/>
    <w:rsid w:val="00792050"/>
    <w:rsid w:val="00792C16"/>
    <w:rsid w:val="0079302D"/>
    <w:rsid w:val="0079351A"/>
    <w:rsid w:val="00793701"/>
    <w:rsid w:val="007939C4"/>
    <w:rsid w:val="00793CC4"/>
    <w:rsid w:val="007948EA"/>
    <w:rsid w:val="007949CB"/>
    <w:rsid w:val="0079512A"/>
    <w:rsid w:val="00795230"/>
    <w:rsid w:val="0079539C"/>
    <w:rsid w:val="00795AC4"/>
    <w:rsid w:val="00795EBF"/>
    <w:rsid w:val="00796281"/>
    <w:rsid w:val="00796694"/>
    <w:rsid w:val="007967EE"/>
    <w:rsid w:val="00796FB2"/>
    <w:rsid w:val="007979E5"/>
    <w:rsid w:val="00797AC8"/>
    <w:rsid w:val="00797B2E"/>
    <w:rsid w:val="00797F2C"/>
    <w:rsid w:val="007A0282"/>
    <w:rsid w:val="007A08A0"/>
    <w:rsid w:val="007A0BEC"/>
    <w:rsid w:val="007A113B"/>
    <w:rsid w:val="007A1180"/>
    <w:rsid w:val="007A150E"/>
    <w:rsid w:val="007A155E"/>
    <w:rsid w:val="007A17E3"/>
    <w:rsid w:val="007A1C6B"/>
    <w:rsid w:val="007A1C87"/>
    <w:rsid w:val="007A1E3E"/>
    <w:rsid w:val="007A1EBE"/>
    <w:rsid w:val="007A21A6"/>
    <w:rsid w:val="007A21BD"/>
    <w:rsid w:val="007A299D"/>
    <w:rsid w:val="007A2C22"/>
    <w:rsid w:val="007A2DB9"/>
    <w:rsid w:val="007A2ECD"/>
    <w:rsid w:val="007A3BAD"/>
    <w:rsid w:val="007A3F94"/>
    <w:rsid w:val="007A4E66"/>
    <w:rsid w:val="007A4EF1"/>
    <w:rsid w:val="007A5215"/>
    <w:rsid w:val="007A596D"/>
    <w:rsid w:val="007A5BB3"/>
    <w:rsid w:val="007A6377"/>
    <w:rsid w:val="007A680B"/>
    <w:rsid w:val="007A684F"/>
    <w:rsid w:val="007A6B98"/>
    <w:rsid w:val="007A6D75"/>
    <w:rsid w:val="007A6EA1"/>
    <w:rsid w:val="007A7032"/>
    <w:rsid w:val="007A72D1"/>
    <w:rsid w:val="007A7AA8"/>
    <w:rsid w:val="007A7EED"/>
    <w:rsid w:val="007A7F89"/>
    <w:rsid w:val="007B040B"/>
    <w:rsid w:val="007B0486"/>
    <w:rsid w:val="007B07BF"/>
    <w:rsid w:val="007B0802"/>
    <w:rsid w:val="007B088D"/>
    <w:rsid w:val="007B0ABA"/>
    <w:rsid w:val="007B10AD"/>
    <w:rsid w:val="007B1C4F"/>
    <w:rsid w:val="007B20EF"/>
    <w:rsid w:val="007B22B4"/>
    <w:rsid w:val="007B22C3"/>
    <w:rsid w:val="007B2507"/>
    <w:rsid w:val="007B2683"/>
    <w:rsid w:val="007B294A"/>
    <w:rsid w:val="007B2CFB"/>
    <w:rsid w:val="007B3191"/>
    <w:rsid w:val="007B3D27"/>
    <w:rsid w:val="007B42D1"/>
    <w:rsid w:val="007B434F"/>
    <w:rsid w:val="007B4AC7"/>
    <w:rsid w:val="007B50A7"/>
    <w:rsid w:val="007B54E5"/>
    <w:rsid w:val="007B5883"/>
    <w:rsid w:val="007B59EF"/>
    <w:rsid w:val="007B6192"/>
    <w:rsid w:val="007B6CE9"/>
    <w:rsid w:val="007B72BC"/>
    <w:rsid w:val="007B7ADD"/>
    <w:rsid w:val="007B7C64"/>
    <w:rsid w:val="007C00CD"/>
    <w:rsid w:val="007C0761"/>
    <w:rsid w:val="007C0DAF"/>
    <w:rsid w:val="007C126F"/>
    <w:rsid w:val="007C16B0"/>
    <w:rsid w:val="007C27B8"/>
    <w:rsid w:val="007C2BD9"/>
    <w:rsid w:val="007C2DB8"/>
    <w:rsid w:val="007C2FFE"/>
    <w:rsid w:val="007C31DA"/>
    <w:rsid w:val="007C346B"/>
    <w:rsid w:val="007C4787"/>
    <w:rsid w:val="007C47E1"/>
    <w:rsid w:val="007C4941"/>
    <w:rsid w:val="007C53F9"/>
    <w:rsid w:val="007C5F25"/>
    <w:rsid w:val="007C60AA"/>
    <w:rsid w:val="007C6193"/>
    <w:rsid w:val="007C65C0"/>
    <w:rsid w:val="007C7A3D"/>
    <w:rsid w:val="007C7B22"/>
    <w:rsid w:val="007C7DD6"/>
    <w:rsid w:val="007D017A"/>
    <w:rsid w:val="007D04E1"/>
    <w:rsid w:val="007D0B30"/>
    <w:rsid w:val="007D0CEA"/>
    <w:rsid w:val="007D0DF0"/>
    <w:rsid w:val="007D13C6"/>
    <w:rsid w:val="007D1C53"/>
    <w:rsid w:val="007D2029"/>
    <w:rsid w:val="007D202D"/>
    <w:rsid w:val="007D206A"/>
    <w:rsid w:val="007D212B"/>
    <w:rsid w:val="007D2521"/>
    <w:rsid w:val="007D2867"/>
    <w:rsid w:val="007D38E1"/>
    <w:rsid w:val="007D43ED"/>
    <w:rsid w:val="007D4730"/>
    <w:rsid w:val="007D4A3D"/>
    <w:rsid w:val="007D53CC"/>
    <w:rsid w:val="007D5D02"/>
    <w:rsid w:val="007D613A"/>
    <w:rsid w:val="007D6CCA"/>
    <w:rsid w:val="007D6ED9"/>
    <w:rsid w:val="007D72A1"/>
    <w:rsid w:val="007D7F0E"/>
    <w:rsid w:val="007E0018"/>
    <w:rsid w:val="007E00B3"/>
    <w:rsid w:val="007E09D7"/>
    <w:rsid w:val="007E10DD"/>
    <w:rsid w:val="007E124B"/>
    <w:rsid w:val="007E2165"/>
    <w:rsid w:val="007E2AF7"/>
    <w:rsid w:val="007E2B1E"/>
    <w:rsid w:val="007E366B"/>
    <w:rsid w:val="007E391D"/>
    <w:rsid w:val="007E3A59"/>
    <w:rsid w:val="007E3D91"/>
    <w:rsid w:val="007E3DD7"/>
    <w:rsid w:val="007E3EE2"/>
    <w:rsid w:val="007E46BE"/>
    <w:rsid w:val="007E4809"/>
    <w:rsid w:val="007E49AA"/>
    <w:rsid w:val="007E4A78"/>
    <w:rsid w:val="007E4C6B"/>
    <w:rsid w:val="007E5533"/>
    <w:rsid w:val="007E5997"/>
    <w:rsid w:val="007E5B6B"/>
    <w:rsid w:val="007E62B3"/>
    <w:rsid w:val="007E6A5D"/>
    <w:rsid w:val="007E7065"/>
    <w:rsid w:val="007E7230"/>
    <w:rsid w:val="007E7672"/>
    <w:rsid w:val="007F046C"/>
    <w:rsid w:val="007F04D6"/>
    <w:rsid w:val="007F06AA"/>
    <w:rsid w:val="007F06B7"/>
    <w:rsid w:val="007F08AB"/>
    <w:rsid w:val="007F0B0D"/>
    <w:rsid w:val="007F0E5A"/>
    <w:rsid w:val="007F0E77"/>
    <w:rsid w:val="007F11CE"/>
    <w:rsid w:val="007F186F"/>
    <w:rsid w:val="007F1C37"/>
    <w:rsid w:val="007F1D1E"/>
    <w:rsid w:val="007F28C4"/>
    <w:rsid w:val="007F2D9A"/>
    <w:rsid w:val="007F32ED"/>
    <w:rsid w:val="007F367E"/>
    <w:rsid w:val="007F3975"/>
    <w:rsid w:val="007F48B6"/>
    <w:rsid w:val="007F48BE"/>
    <w:rsid w:val="007F4EA6"/>
    <w:rsid w:val="007F5141"/>
    <w:rsid w:val="007F5B8D"/>
    <w:rsid w:val="007F6041"/>
    <w:rsid w:val="007F617F"/>
    <w:rsid w:val="007F65BD"/>
    <w:rsid w:val="007F65C1"/>
    <w:rsid w:val="007F6F09"/>
    <w:rsid w:val="007F6F76"/>
    <w:rsid w:val="007F6FB6"/>
    <w:rsid w:val="007F7453"/>
    <w:rsid w:val="007F7515"/>
    <w:rsid w:val="007F7F0E"/>
    <w:rsid w:val="00800178"/>
    <w:rsid w:val="008003C8"/>
    <w:rsid w:val="00800977"/>
    <w:rsid w:val="008009B5"/>
    <w:rsid w:val="00800FE1"/>
    <w:rsid w:val="008013A7"/>
    <w:rsid w:val="00801775"/>
    <w:rsid w:val="00801931"/>
    <w:rsid w:val="00801A07"/>
    <w:rsid w:val="00801B65"/>
    <w:rsid w:val="00801B6E"/>
    <w:rsid w:val="00802098"/>
    <w:rsid w:val="00802DFC"/>
    <w:rsid w:val="008030FC"/>
    <w:rsid w:val="00803254"/>
    <w:rsid w:val="00803E32"/>
    <w:rsid w:val="0080405F"/>
    <w:rsid w:val="008040C2"/>
    <w:rsid w:val="0080460F"/>
    <w:rsid w:val="00804879"/>
    <w:rsid w:val="00804CC9"/>
    <w:rsid w:val="00804F47"/>
    <w:rsid w:val="0080511D"/>
    <w:rsid w:val="008051DA"/>
    <w:rsid w:val="00805346"/>
    <w:rsid w:val="00805452"/>
    <w:rsid w:val="00805469"/>
    <w:rsid w:val="008054EC"/>
    <w:rsid w:val="008057D1"/>
    <w:rsid w:val="00805A2A"/>
    <w:rsid w:val="00805DE8"/>
    <w:rsid w:val="00806189"/>
    <w:rsid w:val="008070F2"/>
    <w:rsid w:val="0080789F"/>
    <w:rsid w:val="00807C26"/>
    <w:rsid w:val="0081004D"/>
    <w:rsid w:val="00810CFC"/>
    <w:rsid w:val="008111DE"/>
    <w:rsid w:val="0081145C"/>
    <w:rsid w:val="00811478"/>
    <w:rsid w:val="0081159E"/>
    <w:rsid w:val="00811B0E"/>
    <w:rsid w:val="00811C6E"/>
    <w:rsid w:val="008127AB"/>
    <w:rsid w:val="008129F5"/>
    <w:rsid w:val="00812EAD"/>
    <w:rsid w:val="00813074"/>
    <w:rsid w:val="008133CA"/>
    <w:rsid w:val="00813452"/>
    <w:rsid w:val="0081375F"/>
    <w:rsid w:val="00813871"/>
    <w:rsid w:val="00813B07"/>
    <w:rsid w:val="00813BD2"/>
    <w:rsid w:val="00813CCD"/>
    <w:rsid w:val="00814992"/>
    <w:rsid w:val="00814D42"/>
    <w:rsid w:val="00814E0D"/>
    <w:rsid w:val="00814FBA"/>
    <w:rsid w:val="008150AC"/>
    <w:rsid w:val="008152BE"/>
    <w:rsid w:val="008153B6"/>
    <w:rsid w:val="00815569"/>
    <w:rsid w:val="00815807"/>
    <w:rsid w:val="00815E28"/>
    <w:rsid w:val="008167FB"/>
    <w:rsid w:val="00816EC1"/>
    <w:rsid w:val="00817202"/>
    <w:rsid w:val="00817C76"/>
    <w:rsid w:val="008208B1"/>
    <w:rsid w:val="00820A30"/>
    <w:rsid w:val="00821AA3"/>
    <w:rsid w:val="008224D7"/>
    <w:rsid w:val="00822FEE"/>
    <w:rsid w:val="008233A6"/>
    <w:rsid w:val="00823528"/>
    <w:rsid w:val="008239DC"/>
    <w:rsid w:val="00823ADD"/>
    <w:rsid w:val="0082417E"/>
    <w:rsid w:val="00824189"/>
    <w:rsid w:val="00824A55"/>
    <w:rsid w:val="00825147"/>
    <w:rsid w:val="00825792"/>
    <w:rsid w:val="00825933"/>
    <w:rsid w:val="0082623B"/>
    <w:rsid w:val="008269F5"/>
    <w:rsid w:val="008271BE"/>
    <w:rsid w:val="008271CE"/>
    <w:rsid w:val="008274CA"/>
    <w:rsid w:val="0082752F"/>
    <w:rsid w:val="00827AD8"/>
    <w:rsid w:val="00827D16"/>
    <w:rsid w:val="008302BF"/>
    <w:rsid w:val="00830456"/>
    <w:rsid w:val="00830BCB"/>
    <w:rsid w:val="00830E16"/>
    <w:rsid w:val="00830EFD"/>
    <w:rsid w:val="00830F10"/>
    <w:rsid w:val="0083180A"/>
    <w:rsid w:val="00831BDC"/>
    <w:rsid w:val="00831D43"/>
    <w:rsid w:val="00832B1F"/>
    <w:rsid w:val="00832B68"/>
    <w:rsid w:val="00832FC0"/>
    <w:rsid w:val="00833177"/>
    <w:rsid w:val="00833687"/>
    <w:rsid w:val="00833D5E"/>
    <w:rsid w:val="00834284"/>
    <w:rsid w:val="00834492"/>
    <w:rsid w:val="008345CB"/>
    <w:rsid w:val="008347A8"/>
    <w:rsid w:val="00834A73"/>
    <w:rsid w:val="00834F34"/>
    <w:rsid w:val="00835853"/>
    <w:rsid w:val="0083590D"/>
    <w:rsid w:val="00836351"/>
    <w:rsid w:val="00836471"/>
    <w:rsid w:val="00836B0C"/>
    <w:rsid w:val="00836FFE"/>
    <w:rsid w:val="00837154"/>
    <w:rsid w:val="0083748C"/>
    <w:rsid w:val="00837893"/>
    <w:rsid w:val="00837BAB"/>
    <w:rsid w:val="008400E1"/>
    <w:rsid w:val="0084012A"/>
    <w:rsid w:val="0084075D"/>
    <w:rsid w:val="00840ADB"/>
    <w:rsid w:val="00840D1A"/>
    <w:rsid w:val="00840E6A"/>
    <w:rsid w:val="008414D2"/>
    <w:rsid w:val="00841A4F"/>
    <w:rsid w:val="00841A70"/>
    <w:rsid w:val="008420B9"/>
    <w:rsid w:val="008425EA"/>
    <w:rsid w:val="00842791"/>
    <w:rsid w:val="008427DC"/>
    <w:rsid w:val="00842C57"/>
    <w:rsid w:val="00842D70"/>
    <w:rsid w:val="00842E7C"/>
    <w:rsid w:val="00842E9D"/>
    <w:rsid w:val="00843780"/>
    <w:rsid w:val="00843A6B"/>
    <w:rsid w:val="00843BBD"/>
    <w:rsid w:val="00843C77"/>
    <w:rsid w:val="00843E9B"/>
    <w:rsid w:val="008443BB"/>
    <w:rsid w:val="008443D2"/>
    <w:rsid w:val="008447D2"/>
    <w:rsid w:val="008453F7"/>
    <w:rsid w:val="008461D3"/>
    <w:rsid w:val="00846B54"/>
    <w:rsid w:val="00846CC0"/>
    <w:rsid w:val="00846D36"/>
    <w:rsid w:val="00846F55"/>
    <w:rsid w:val="0084725C"/>
    <w:rsid w:val="008472FA"/>
    <w:rsid w:val="008474BF"/>
    <w:rsid w:val="008475C4"/>
    <w:rsid w:val="00847E3C"/>
    <w:rsid w:val="00847FC8"/>
    <w:rsid w:val="0085007C"/>
    <w:rsid w:val="00850438"/>
    <w:rsid w:val="00850EF3"/>
    <w:rsid w:val="00850EFC"/>
    <w:rsid w:val="008512A4"/>
    <w:rsid w:val="00851376"/>
    <w:rsid w:val="00851A27"/>
    <w:rsid w:val="00851C49"/>
    <w:rsid w:val="00851D17"/>
    <w:rsid w:val="0085211F"/>
    <w:rsid w:val="00852255"/>
    <w:rsid w:val="0085243C"/>
    <w:rsid w:val="00852934"/>
    <w:rsid w:val="00852C80"/>
    <w:rsid w:val="0085324C"/>
    <w:rsid w:val="0085359E"/>
    <w:rsid w:val="0085382A"/>
    <w:rsid w:val="00853A03"/>
    <w:rsid w:val="00853CFD"/>
    <w:rsid w:val="00853EFD"/>
    <w:rsid w:val="008544D0"/>
    <w:rsid w:val="008545C5"/>
    <w:rsid w:val="008545EC"/>
    <w:rsid w:val="00854836"/>
    <w:rsid w:val="008548FB"/>
    <w:rsid w:val="00854A0B"/>
    <w:rsid w:val="0085520D"/>
    <w:rsid w:val="00855690"/>
    <w:rsid w:val="008562BB"/>
    <w:rsid w:val="008564FF"/>
    <w:rsid w:val="00856971"/>
    <w:rsid w:val="008569BE"/>
    <w:rsid w:val="008569FE"/>
    <w:rsid w:val="00857685"/>
    <w:rsid w:val="008579EC"/>
    <w:rsid w:val="00857A69"/>
    <w:rsid w:val="00857E79"/>
    <w:rsid w:val="008602BA"/>
    <w:rsid w:val="008606B4"/>
    <w:rsid w:val="008609B5"/>
    <w:rsid w:val="00861362"/>
    <w:rsid w:val="00861892"/>
    <w:rsid w:val="0086254D"/>
    <w:rsid w:val="008628B7"/>
    <w:rsid w:val="0086358A"/>
    <w:rsid w:val="008635AC"/>
    <w:rsid w:val="00863AC5"/>
    <w:rsid w:val="00863BDE"/>
    <w:rsid w:val="00863D37"/>
    <w:rsid w:val="0086492A"/>
    <w:rsid w:val="00865668"/>
    <w:rsid w:val="00866051"/>
    <w:rsid w:val="00866477"/>
    <w:rsid w:val="008666A3"/>
    <w:rsid w:val="008667AA"/>
    <w:rsid w:val="00866B1B"/>
    <w:rsid w:val="00866F0E"/>
    <w:rsid w:val="0086707E"/>
    <w:rsid w:val="008670B0"/>
    <w:rsid w:val="00867E3F"/>
    <w:rsid w:val="0087098F"/>
    <w:rsid w:val="00870FAC"/>
    <w:rsid w:val="00871681"/>
    <w:rsid w:val="00871990"/>
    <w:rsid w:val="0087284A"/>
    <w:rsid w:val="00872DFC"/>
    <w:rsid w:val="00872EFC"/>
    <w:rsid w:val="00872F9E"/>
    <w:rsid w:val="00873B29"/>
    <w:rsid w:val="0087421D"/>
    <w:rsid w:val="00874318"/>
    <w:rsid w:val="008743C7"/>
    <w:rsid w:val="0087446F"/>
    <w:rsid w:val="00874AFC"/>
    <w:rsid w:val="00874B23"/>
    <w:rsid w:val="00874CF4"/>
    <w:rsid w:val="00875176"/>
    <w:rsid w:val="00876106"/>
    <w:rsid w:val="008764F7"/>
    <w:rsid w:val="00876657"/>
    <w:rsid w:val="008766DF"/>
    <w:rsid w:val="00876D65"/>
    <w:rsid w:val="00876F53"/>
    <w:rsid w:val="008775F5"/>
    <w:rsid w:val="00877A52"/>
    <w:rsid w:val="00877E87"/>
    <w:rsid w:val="00877FAB"/>
    <w:rsid w:val="00880293"/>
    <w:rsid w:val="0088075E"/>
    <w:rsid w:val="00880BED"/>
    <w:rsid w:val="0088138E"/>
    <w:rsid w:val="008819A5"/>
    <w:rsid w:val="0088219D"/>
    <w:rsid w:val="0088224E"/>
    <w:rsid w:val="008825CB"/>
    <w:rsid w:val="00882EC3"/>
    <w:rsid w:val="0088325A"/>
    <w:rsid w:val="008832FC"/>
    <w:rsid w:val="008833F3"/>
    <w:rsid w:val="00883E54"/>
    <w:rsid w:val="008846B2"/>
    <w:rsid w:val="00884991"/>
    <w:rsid w:val="00884D63"/>
    <w:rsid w:val="00884EE3"/>
    <w:rsid w:val="008855BB"/>
    <w:rsid w:val="008858D6"/>
    <w:rsid w:val="00885C1C"/>
    <w:rsid w:val="00885F17"/>
    <w:rsid w:val="0088647B"/>
    <w:rsid w:val="00886B24"/>
    <w:rsid w:val="00886E6F"/>
    <w:rsid w:val="00887188"/>
    <w:rsid w:val="008873AC"/>
    <w:rsid w:val="00887DF4"/>
    <w:rsid w:val="00887F4A"/>
    <w:rsid w:val="008906D4"/>
    <w:rsid w:val="00890E19"/>
    <w:rsid w:val="00890EC0"/>
    <w:rsid w:val="008910D9"/>
    <w:rsid w:val="008912DE"/>
    <w:rsid w:val="008917EE"/>
    <w:rsid w:val="00892938"/>
    <w:rsid w:val="008936BE"/>
    <w:rsid w:val="00893914"/>
    <w:rsid w:val="00893FF7"/>
    <w:rsid w:val="0089466C"/>
    <w:rsid w:val="00894782"/>
    <w:rsid w:val="00894AE4"/>
    <w:rsid w:val="00894B49"/>
    <w:rsid w:val="00894DE2"/>
    <w:rsid w:val="00895BF0"/>
    <w:rsid w:val="00895CEF"/>
    <w:rsid w:val="00896046"/>
    <w:rsid w:val="00896686"/>
    <w:rsid w:val="00896A6E"/>
    <w:rsid w:val="00896D66"/>
    <w:rsid w:val="00896F1C"/>
    <w:rsid w:val="0089741A"/>
    <w:rsid w:val="008977F1"/>
    <w:rsid w:val="00897B6C"/>
    <w:rsid w:val="008A0032"/>
    <w:rsid w:val="008A0035"/>
    <w:rsid w:val="008A0420"/>
    <w:rsid w:val="008A07D4"/>
    <w:rsid w:val="008A08F3"/>
    <w:rsid w:val="008A1D91"/>
    <w:rsid w:val="008A2C0D"/>
    <w:rsid w:val="008A2CC4"/>
    <w:rsid w:val="008A3741"/>
    <w:rsid w:val="008A3747"/>
    <w:rsid w:val="008A3A6F"/>
    <w:rsid w:val="008A3D3C"/>
    <w:rsid w:val="008A3E1F"/>
    <w:rsid w:val="008A3ED7"/>
    <w:rsid w:val="008A4A46"/>
    <w:rsid w:val="008A5373"/>
    <w:rsid w:val="008A5CCF"/>
    <w:rsid w:val="008A66EB"/>
    <w:rsid w:val="008A6AF7"/>
    <w:rsid w:val="008A6D91"/>
    <w:rsid w:val="008A7354"/>
    <w:rsid w:val="008B00D2"/>
    <w:rsid w:val="008B02F2"/>
    <w:rsid w:val="008B0311"/>
    <w:rsid w:val="008B04AF"/>
    <w:rsid w:val="008B123B"/>
    <w:rsid w:val="008B14A1"/>
    <w:rsid w:val="008B167E"/>
    <w:rsid w:val="008B22BC"/>
    <w:rsid w:val="008B235C"/>
    <w:rsid w:val="008B2EB3"/>
    <w:rsid w:val="008B3950"/>
    <w:rsid w:val="008B3FEE"/>
    <w:rsid w:val="008B4ACD"/>
    <w:rsid w:val="008B531E"/>
    <w:rsid w:val="008B6B74"/>
    <w:rsid w:val="008B6F76"/>
    <w:rsid w:val="008B6FC1"/>
    <w:rsid w:val="008B7181"/>
    <w:rsid w:val="008B7F0E"/>
    <w:rsid w:val="008C0203"/>
    <w:rsid w:val="008C0597"/>
    <w:rsid w:val="008C072A"/>
    <w:rsid w:val="008C07A2"/>
    <w:rsid w:val="008C0AF9"/>
    <w:rsid w:val="008C174E"/>
    <w:rsid w:val="008C23CC"/>
    <w:rsid w:val="008C2882"/>
    <w:rsid w:val="008C2932"/>
    <w:rsid w:val="008C2C11"/>
    <w:rsid w:val="008C2C4D"/>
    <w:rsid w:val="008C3162"/>
    <w:rsid w:val="008C371F"/>
    <w:rsid w:val="008C3DA3"/>
    <w:rsid w:val="008C4884"/>
    <w:rsid w:val="008C4A9E"/>
    <w:rsid w:val="008C4AC9"/>
    <w:rsid w:val="008C4B7A"/>
    <w:rsid w:val="008C4DCF"/>
    <w:rsid w:val="008C5CB0"/>
    <w:rsid w:val="008C6117"/>
    <w:rsid w:val="008C656B"/>
    <w:rsid w:val="008C6A80"/>
    <w:rsid w:val="008C6F87"/>
    <w:rsid w:val="008C72A5"/>
    <w:rsid w:val="008D03FC"/>
    <w:rsid w:val="008D0651"/>
    <w:rsid w:val="008D15FB"/>
    <w:rsid w:val="008D179C"/>
    <w:rsid w:val="008D1927"/>
    <w:rsid w:val="008D1C0B"/>
    <w:rsid w:val="008D1F31"/>
    <w:rsid w:val="008D1F42"/>
    <w:rsid w:val="008D2B1C"/>
    <w:rsid w:val="008D2D74"/>
    <w:rsid w:val="008D3871"/>
    <w:rsid w:val="008D4217"/>
    <w:rsid w:val="008D445F"/>
    <w:rsid w:val="008D4562"/>
    <w:rsid w:val="008D4DCC"/>
    <w:rsid w:val="008D4FBB"/>
    <w:rsid w:val="008D5068"/>
    <w:rsid w:val="008D515A"/>
    <w:rsid w:val="008D535B"/>
    <w:rsid w:val="008D59DD"/>
    <w:rsid w:val="008D60B2"/>
    <w:rsid w:val="008D66B4"/>
    <w:rsid w:val="008D6916"/>
    <w:rsid w:val="008D6B9C"/>
    <w:rsid w:val="008D71D6"/>
    <w:rsid w:val="008D7828"/>
    <w:rsid w:val="008E0794"/>
    <w:rsid w:val="008E09EE"/>
    <w:rsid w:val="008E0B53"/>
    <w:rsid w:val="008E0EF5"/>
    <w:rsid w:val="008E234F"/>
    <w:rsid w:val="008E2C0F"/>
    <w:rsid w:val="008E3137"/>
    <w:rsid w:val="008E33F7"/>
    <w:rsid w:val="008E3A40"/>
    <w:rsid w:val="008E476C"/>
    <w:rsid w:val="008E5B3C"/>
    <w:rsid w:val="008E5D67"/>
    <w:rsid w:val="008E5DC4"/>
    <w:rsid w:val="008E6888"/>
    <w:rsid w:val="008E68DA"/>
    <w:rsid w:val="008E69E4"/>
    <w:rsid w:val="008E6A25"/>
    <w:rsid w:val="008E731B"/>
    <w:rsid w:val="008E7C04"/>
    <w:rsid w:val="008F085F"/>
    <w:rsid w:val="008F091A"/>
    <w:rsid w:val="008F11B8"/>
    <w:rsid w:val="008F16C0"/>
    <w:rsid w:val="008F1835"/>
    <w:rsid w:val="008F1A49"/>
    <w:rsid w:val="008F1EB6"/>
    <w:rsid w:val="008F2186"/>
    <w:rsid w:val="008F230A"/>
    <w:rsid w:val="008F2CD1"/>
    <w:rsid w:val="008F323C"/>
    <w:rsid w:val="008F331C"/>
    <w:rsid w:val="008F33ED"/>
    <w:rsid w:val="008F3460"/>
    <w:rsid w:val="008F38FB"/>
    <w:rsid w:val="008F3B08"/>
    <w:rsid w:val="008F4232"/>
    <w:rsid w:val="008F4718"/>
    <w:rsid w:val="008F497D"/>
    <w:rsid w:val="008F4C95"/>
    <w:rsid w:val="008F5034"/>
    <w:rsid w:val="008F5BF5"/>
    <w:rsid w:val="008F621F"/>
    <w:rsid w:val="008F62AC"/>
    <w:rsid w:val="008F63D4"/>
    <w:rsid w:val="008F759E"/>
    <w:rsid w:val="008F7DFE"/>
    <w:rsid w:val="0090088D"/>
    <w:rsid w:val="009008B1"/>
    <w:rsid w:val="00900A1B"/>
    <w:rsid w:val="00901286"/>
    <w:rsid w:val="00901434"/>
    <w:rsid w:val="0090197A"/>
    <w:rsid w:val="0090242D"/>
    <w:rsid w:val="00902C67"/>
    <w:rsid w:val="009032F8"/>
    <w:rsid w:val="009033A0"/>
    <w:rsid w:val="009036D1"/>
    <w:rsid w:val="00903912"/>
    <w:rsid w:val="00903E41"/>
    <w:rsid w:val="009042C0"/>
    <w:rsid w:val="00904436"/>
    <w:rsid w:val="00904557"/>
    <w:rsid w:val="00905079"/>
    <w:rsid w:val="00905224"/>
    <w:rsid w:val="00905248"/>
    <w:rsid w:val="009054CD"/>
    <w:rsid w:val="0090577A"/>
    <w:rsid w:val="00905A08"/>
    <w:rsid w:val="00905A67"/>
    <w:rsid w:val="00905C40"/>
    <w:rsid w:val="0090624D"/>
    <w:rsid w:val="009069F3"/>
    <w:rsid w:val="00907095"/>
    <w:rsid w:val="0090725C"/>
    <w:rsid w:val="00907F63"/>
    <w:rsid w:val="00910771"/>
    <w:rsid w:val="00910812"/>
    <w:rsid w:val="00910EEE"/>
    <w:rsid w:val="00911C6A"/>
    <w:rsid w:val="00911D79"/>
    <w:rsid w:val="009122FA"/>
    <w:rsid w:val="0091262D"/>
    <w:rsid w:val="009129CF"/>
    <w:rsid w:val="009132E4"/>
    <w:rsid w:val="00913393"/>
    <w:rsid w:val="0091342A"/>
    <w:rsid w:val="009141E2"/>
    <w:rsid w:val="00914B9A"/>
    <w:rsid w:val="00914D99"/>
    <w:rsid w:val="00915232"/>
    <w:rsid w:val="009153A3"/>
    <w:rsid w:val="00915492"/>
    <w:rsid w:val="00915BF2"/>
    <w:rsid w:val="009168C1"/>
    <w:rsid w:val="00917140"/>
    <w:rsid w:val="0091774C"/>
    <w:rsid w:val="00917EA8"/>
    <w:rsid w:val="0092156F"/>
    <w:rsid w:val="00921ADA"/>
    <w:rsid w:val="00921E28"/>
    <w:rsid w:val="00922CF9"/>
    <w:rsid w:val="00923137"/>
    <w:rsid w:val="0092330C"/>
    <w:rsid w:val="0092351C"/>
    <w:rsid w:val="0092363D"/>
    <w:rsid w:val="009241E6"/>
    <w:rsid w:val="00924DDD"/>
    <w:rsid w:val="00925208"/>
    <w:rsid w:val="00925499"/>
    <w:rsid w:val="009257CD"/>
    <w:rsid w:val="00925B67"/>
    <w:rsid w:val="00926142"/>
    <w:rsid w:val="00926695"/>
    <w:rsid w:val="009269E7"/>
    <w:rsid w:val="009269E9"/>
    <w:rsid w:val="00926CD2"/>
    <w:rsid w:val="00930540"/>
    <w:rsid w:val="009306B3"/>
    <w:rsid w:val="009313A5"/>
    <w:rsid w:val="0093233F"/>
    <w:rsid w:val="00932354"/>
    <w:rsid w:val="00932692"/>
    <w:rsid w:val="00932C40"/>
    <w:rsid w:val="0093399E"/>
    <w:rsid w:val="00933B55"/>
    <w:rsid w:val="00933C47"/>
    <w:rsid w:val="00934AD2"/>
    <w:rsid w:val="009359A9"/>
    <w:rsid w:val="00935CF4"/>
    <w:rsid w:val="00936196"/>
    <w:rsid w:val="00936ACD"/>
    <w:rsid w:val="00936C92"/>
    <w:rsid w:val="009373A9"/>
    <w:rsid w:val="009373BF"/>
    <w:rsid w:val="009374A1"/>
    <w:rsid w:val="00940DC6"/>
    <w:rsid w:val="00940F26"/>
    <w:rsid w:val="00941769"/>
    <w:rsid w:val="009417A5"/>
    <w:rsid w:val="00941A64"/>
    <w:rsid w:val="00942294"/>
    <w:rsid w:val="00942368"/>
    <w:rsid w:val="00942462"/>
    <w:rsid w:val="00942678"/>
    <w:rsid w:val="00942BE4"/>
    <w:rsid w:val="00943D22"/>
    <w:rsid w:val="00943E5F"/>
    <w:rsid w:val="009446B3"/>
    <w:rsid w:val="00945260"/>
    <w:rsid w:val="00945486"/>
    <w:rsid w:val="009457FA"/>
    <w:rsid w:val="00945DFC"/>
    <w:rsid w:val="009468CF"/>
    <w:rsid w:val="00946EA1"/>
    <w:rsid w:val="0094748D"/>
    <w:rsid w:val="00947553"/>
    <w:rsid w:val="00947956"/>
    <w:rsid w:val="00947A6C"/>
    <w:rsid w:val="00950983"/>
    <w:rsid w:val="009521BE"/>
    <w:rsid w:val="00952515"/>
    <w:rsid w:val="009528F6"/>
    <w:rsid w:val="00952F43"/>
    <w:rsid w:val="00953581"/>
    <w:rsid w:val="00953B1D"/>
    <w:rsid w:val="0095402F"/>
    <w:rsid w:val="0095423D"/>
    <w:rsid w:val="00954479"/>
    <w:rsid w:val="0095488A"/>
    <w:rsid w:val="00954F8F"/>
    <w:rsid w:val="009554BE"/>
    <w:rsid w:val="0095572A"/>
    <w:rsid w:val="00955737"/>
    <w:rsid w:val="0095574F"/>
    <w:rsid w:val="00955BDC"/>
    <w:rsid w:val="00955D96"/>
    <w:rsid w:val="00955DA2"/>
    <w:rsid w:val="009561FD"/>
    <w:rsid w:val="0095641B"/>
    <w:rsid w:val="009566E1"/>
    <w:rsid w:val="00956F8C"/>
    <w:rsid w:val="00957DB5"/>
    <w:rsid w:val="00960793"/>
    <w:rsid w:val="0096092A"/>
    <w:rsid w:val="00960B81"/>
    <w:rsid w:val="00961932"/>
    <w:rsid w:val="00962290"/>
    <w:rsid w:val="00962B13"/>
    <w:rsid w:val="00962D1A"/>
    <w:rsid w:val="00962DBD"/>
    <w:rsid w:val="00963504"/>
    <w:rsid w:val="009637D7"/>
    <w:rsid w:val="009637FE"/>
    <w:rsid w:val="00963816"/>
    <w:rsid w:val="00963901"/>
    <w:rsid w:val="009639ED"/>
    <w:rsid w:val="00963DE0"/>
    <w:rsid w:val="009641D3"/>
    <w:rsid w:val="009641F5"/>
    <w:rsid w:val="009643AD"/>
    <w:rsid w:val="009644CB"/>
    <w:rsid w:val="0096459C"/>
    <w:rsid w:val="009652A9"/>
    <w:rsid w:val="009652E7"/>
    <w:rsid w:val="00965ED2"/>
    <w:rsid w:val="00966274"/>
    <w:rsid w:val="009664E0"/>
    <w:rsid w:val="00966DFB"/>
    <w:rsid w:val="0096741E"/>
    <w:rsid w:val="009679F5"/>
    <w:rsid w:val="00967A9B"/>
    <w:rsid w:val="00967AB3"/>
    <w:rsid w:val="00967DC5"/>
    <w:rsid w:val="00967DF5"/>
    <w:rsid w:val="00967F79"/>
    <w:rsid w:val="00970325"/>
    <w:rsid w:val="0097090E"/>
    <w:rsid w:val="00970B70"/>
    <w:rsid w:val="00971C35"/>
    <w:rsid w:val="0097215D"/>
    <w:rsid w:val="00972330"/>
    <w:rsid w:val="00972E9E"/>
    <w:rsid w:val="00972F11"/>
    <w:rsid w:val="009730A5"/>
    <w:rsid w:val="00973834"/>
    <w:rsid w:val="0097385B"/>
    <w:rsid w:val="00973F23"/>
    <w:rsid w:val="00974956"/>
    <w:rsid w:val="00974EA2"/>
    <w:rsid w:val="00974F4F"/>
    <w:rsid w:val="009758ED"/>
    <w:rsid w:val="00975A7E"/>
    <w:rsid w:val="00976636"/>
    <w:rsid w:val="0097699A"/>
    <w:rsid w:val="009769CD"/>
    <w:rsid w:val="00976B40"/>
    <w:rsid w:val="00976D73"/>
    <w:rsid w:val="009801B0"/>
    <w:rsid w:val="009805F0"/>
    <w:rsid w:val="00980BC7"/>
    <w:rsid w:val="00980BCB"/>
    <w:rsid w:val="00981166"/>
    <w:rsid w:val="00981F52"/>
    <w:rsid w:val="0098294D"/>
    <w:rsid w:val="009835B6"/>
    <w:rsid w:val="00983DE6"/>
    <w:rsid w:val="00983E0B"/>
    <w:rsid w:val="009843E2"/>
    <w:rsid w:val="009844BF"/>
    <w:rsid w:val="009846EA"/>
    <w:rsid w:val="0098516C"/>
    <w:rsid w:val="0098558E"/>
    <w:rsid w:val="00985626"/>
    <w:rsid w:val="0098600D"/>
    <w:rsid w:val="00986299"/>
    <w:rsid w:val="00987121"/>
    <w:rsid w:val="0099014A"/>
    <w:rsid w:val="0099014E"/>
    <w:rsid w:val="0099015F"/>
    <w:rsid w:val="00990367"/>
    <w:rsid w:val="00990CE4"/>
    <w:rsid w:val="009910E8"/>
    <w:rsid w:val="009914E2"/>
    <w:rsid w:val="00991613"/>
    <w:rsid w:val="00992E7F"/>
    <w:rsid w:val="009930FF"/>
    <w:rsid w:val="009931A7"/>
    <w:rsid w:val="009931E6"/>
    <w:rsid w:val="0099322B"/>
    <w:rsid w:val="00993495"/>
    <w:rsid w:val="009938A2"/>
    <w:rsid w:val="009940E4"/>
    <w:rsid w:val="00994270"/>
    <w:rsid w:val="00994440"/>
    <w:rsid w:val="00994640"/>
    <w:rsid w:val="009959F1"/>
    <w:rsid w:val="009962A1"/>
    <w:rsid w:val="0099631C"/>
    <w:rsid w:val="00996367"/>
    <w:rsid w:val="00996A06"/>
    <w:rsid w:val="00996C59"/>
    <w:rsid w:val="00996E64"/>
    <w:rsid w:val="00997589"/>
    <w:rsid w:val="00997A56"/>
    <w:rsid w:val="00997F82"/>
    <w:rsid w:val="009A040A"/>
    <w:rsid w:val="009A041F"/>
    <w:rsid w:val="009A1037"/>
    <w:rsid w:val="009A18DE"/>
    <w:rsid w:val="009A1A00"/>
    <w:rsid w:val="009A23D7"/>
    <w:rsid w:val="009A24B6"/>
    <w:rsid w:val="009A2574"/>
    <w:rsid w:val="009A2B81"/>
    <w:rsid w:val="009A2DDC"/>
    <w:rsid w:val="009A2F06"/>
    <w:rsid w:val="009A30EA"/>
    <w:rsid w:val="009A3268"/>
    <w:rsid w:val="009A3E09"/>
    <w:rsid w:val="009A3F3A"/>
    <w:rsid w:val="009A4C73"/>
    <w:rsid w:val="009A4CBC"/>
    <w:rsid w:val="009A4DE6"/>
    <w:rsid w:val="009A4FAA"/>
    <w:rsid w:val="009A54E3"/>
    <w:rsid w:val="009A5C8D"/>
    <w:rsid w:val="009A62DC"/>
    <w:rsid w:val="009A657E"/>
    <w:rsid w:val="009A67E4"/>
    <w:rsid w:val="009A6BD4"/>
    <w:rsid w:val="009A6C61"/>
    <w:rsid w:val="009B01A5"/>
    <w:rsid w:val="009B024A"/>
    <w:rsid w:val="009B03D7"/>
    <w:rsid w:val="009B0499"/>
    <w:rsid w:val="009B05F8"/>
    <w:rsid w:val="009B114C"/>
    <w:rsid w:val="009B119D"/>
    <w:rsid w:val="009B11E6"/>
    <w:rsid w:val="009B120B"/>
    <w:rsid w:val="009B1439"/>
    <w:rsid w:val="009B1502"/>
    <w:rsid w:val="009B167B"/>
    <w:rsid w:val="009B195F"/>
    <w:rsid w:val="009B26EC"/>
    <w:rsid w:val="009B3E2D"/>
    <w:rsid w:val="009B3E4C"/>
    <w:rsid w:val="009B46CE"/>
    <w:rsid w:val="009B4716"/>
    <w:rsid w:val="009B4767"/>
    <w:rsid w:val="009B4881"/>
    <w:rsid w:val="009B4B74"/>
    <w:rsid w:val="009B53BF"/>
    <w:rsid w:val="009B55BA"/>
    <w:rsid w:val="009B5EF8"/>
    <w:rsid w:val="009B6985"/>
    <w:rsid w:val="009B6F29"/>
    <w:rsid w:val="009B6FD8"/>
    <w:rsid w:val="009B7DED"/>
    <w:rsid w:val="009C012A"/>
    <w:rsid w:val="009C037D"/>
    <w:rsid w:val="009C05C6"/>
    <w:rsid w:val="009C0604"/>
    <w:rsid w:val="009C061E"/>
    <w:rsid w:val="009C0700"/>
    <w:rsid w:val="009C109C"/>
    <w:rsid w:val="009C1235"/>
    <w:rsid w:val="009C182F"/>
    <w:rsid w:val="009C1ACC"/>
    <w:rsid w:val="009C1BFF"/>
    <w:rsid w:val="009C1D55"/>
    <w:rsid w:val="009C2080"/>
    <w:rsid w:val="009C35E3"/>
    <w:rsid w:val="009C3B23"/>
    <w:rsid w:val="009C3BD2"/>
    <w:rsid w:val="009C43EF"/>
    <w:rsid w:val="009C47B7"/>
    <w:rsid w:val="009C482F"/>
    <w:rsid w:val="009C4EA0"/>
    <w:rsid w:val="009C525D"/>
    <w:rsid w:val="009C5285"/>
    <w:rsid w:val="009C59E2"/>
    <w:rsid w:val="009C64A3"/>
    <w:rsid w:val="009C67E5"/>
    <w:rsid w:val="009C6A2B"/>
    <w:rsid w:val="009C7283"/>
    <w:rsid w:val="009C746C"/>
    <w:rsid w:val="009C74B4"/>
    <w:rsid w:val="009C7834"/>
    <w:rsid w:val="009C7873"/>
    <w:rsid w:val="009C7AA6"/>
    <w:rsid w:val="009C7B9A"/>
    <w:rsid w:val="009D05DE"/>
    <w:rsid w:val="009D0827"/>
    <w:rsid w:val="009D08E9"/>
    <w:rsid w:val="009D0C72"/>
    <w:rsid w:val="009D186D"/>
    <w:rsid w:val="009D1FB8"/>
    <w:rsid w:val="009D2687"/>
    <w:rsid w:val="009D272E"/>
    <w:rsid w:val="009D3293"/>
    <w:rsid w:val="009D3D52"/>
    <w:rsid w:val="009D42B1"/>
    <w:rsid w:val="009D448D"/>
    <w:rsid w:val="009D4D49"/>
    <w:rsid w:val="009D524C"/>
    <w:rsid w:val="009D57FA"/>
    <w:rsid w:val="009D6725"/>
    <w:rsid w:val="009D7750"/>
    <w:rsid w:val="009D7956"/>
    <w:rsid w:val="009D7A61"/>
    <w:rsid w:val="009E029E"/>
    <w:rsid w:val="009E086D"/>
    <w:rsid w:val="009E1139"/>
    <w:rsid w:val="009E12D5"/>
    <w:rsid w:val="009E1848"/>
    <w:rsid w:val="009E1DD7"/>
    <w:rsid w:val="009E1DEB"/>
    <w:rsid w:val="009E21A8"/>
    <w:rsid w:val="009E22AA"/>
    <w:rsid w:val="009E23D6"/>
    <w:rsid w:val="009E35E9"/>
    <w:rsid w:val="009E39A7"/>
    <w:rsid w:val="009E39C6"/>
    <w:rsid w:val="009E3EE1"/>
    <w:rsid w:val="009E3F22"/>
    <w:rsid w:val="009E4027"/>
    <w:rsid w:val="009E40E1"/>
    <w:rsid w:val="009E40EB"/>
    <w:rsid w:val="009E417F"/>
    <w:rsid w:val="009E4312"/>
    <w:rsid w:val="009E4429"/>
    <w:rsid w:val="009E479D"/>
    <w:rsid w:val="009E4E14"/>
    <w:rsid w:val="009E57FF"/>
    <w:rsid w:val="009E592D"/>
    <w:rsid w:val="009E6412"/>
    <w:rsid w:val="009E6B5B"/>
    <w:rsid w:val="009E6BA2"/>
    <w:rsid w:val="009E6DD9"/>
    <w:rsid w:val="009E6F7E"/>
    <w:rsid w:val="009E7225"/>
    <w:rsid w:val="009E73A5"/>
    <w:rsid w:val="009E73C2"/>
    <w:rsid w:val="009E7472"/>
    <w:rsid w:val="009E75BB"/>
    <w:rsid w:val="009E7687"/>
    <w:rsid w:val="009E79E6"/>
    <w:rsid w:val="009E7CB4"/>
    <w:rsid w:val="009F0EF5"/>
    <w:rsid w:val="009F0F6B"/>
    <w:rsid w:val="009F227D"/>
    <w:rsid w:val="009F251C"/>
    <w:rsid w:val="009F26C0"/>
    <w:rsid w:val="009F2760"/>
    <w:rsid w:val="009F30E4"/>
    <w:rsid w:val="009F47B7"/>
    <w:rsid w:val="009F483F"/>
    <w:rsid w:val="009F4D0A"/>
    <w:rsid w:val="009F4D60"/>
    <w:rsid w:val="009F520E"/>
    <w:rsid w:val="009F52E5"/>
    <w:rsid w:val="009F5369"/>
    <w:rsid w:val="009F5F5E"/>
    <w:rsid w:val="009F6C8F"/>
    <w:rsid w:val="009F6F27"/>
    <w:rsid w:val="009F70FF"/>
    <w:rsid w:val="009F76A1"/>
    <w:rsid w:val="00A0062A"/>
    <w:rsid w:val="00A0065C"/>
    <w:rsid w:val="00A00D6A"/>
    <w:rsid w:val="00A00D86"/>
    <w:rsid w:val="00A01680"/>
    <w:rsid w:val="00A01DA0"/>
    <w:rsid w:val="00A022B3"/>
    <w:rsid w:val="00A024ED"/>
    <w:rsid w:val="00A02C5A"/>
    <w:rsid w:val="00A02C96"/>
    <w:rsid w:val="00A032E1"/>
    <w:rsid w:val="00A03B67"/>
    <w:rsid w:val="00A040D7"/>
    <w:rsid w:val="00A04321"/>
    <w:rsid w:val="00A049B6"/>
    <w:rsid w:val="00A04C7D"/>
    <w:rsid w:val="00A04C88"/>
    <w:rsid w:val="00A05271"/>
    <w:rsid w:val="00A053D3"/>
    <w:rsid w:val="00A05734"/>
    <w:rsid w:val="00A05C5F"/>
    <w:rsid w:val="00A05C75"/>
    <w:rsid w:val="00A05C7F"/>
    <w:rsid w:val="00A0641E"/>
    <w:rsid w:val="00A072EB"/>
    <w:rsid w:val="00A07849"/>
    <w:rsid w:val="00A07915"/>
    <w:rsid w:val="00A07CEB"/>
    <w:rsid w:val="00A1095B"/>
    <w:rsid w:val="00A10FCD"/>
    <w:rsid w:val="00A1207D"/>
    <w:rsid w:val="00A123B3"/>
    <w:rsid w:val="00A12F0C"/>
    <w:rsid w:val="00A14209"/>
    <w:rsid w:val="00A14674"/>
    <w:rsid w:val="00A146FC"/>
    <w:rsid w:val="00A147A9"/>
    <w:rsid w:val="00A149B4"/>
    <w:rsid w:val="00A14DB9"/>
    <w:rsid w:val="00A14E0C"/>
    <w:rsid w:val="00A15406"/>
    <w:rsid w:val="00A156C5"/>
    <w:rsid w:val="00A157D3"/>
    <w:rsid w:val="00A158EF"/>
    <w:rsid w:val="00A16014"/>
    <w:rsid w:val="00A16374"/>
    <w:rsid w:val="00A163AC"/>
    <w:rsid w:val="00A2087A"/>
    <w:rsid w:val="00A208A1"/>
    <w:rsid w:val="00A20C61"/>
    <w:rsid w:val="00A21B64"/>
    <w:rsid w:val="00A21E1E"/>
    <w:rsid w:val="00A222EC"/>
    <w:rsid w:val="00A226BF"/>
    <w:rsid w:val="00A22C02"/>
    <w:rsid w:val="00A22DC2"/>
    <w:rsid w:val="00A22DD9"/>
    <w:rsid w:val="00A2343E"/>
    <w:rsid w:val="00A2354E"/>
    <w:rsid w:val="00A238CA"/>
    <w:rsid w:val="00A23C11"/>
    <w:rsid w:val="00A24014"/>
    <w:rsid w:val="00A253B0"/>
    <w:rsid w:val="00A25E1B"/>
    <w:rsid w:val="00A25E97"/>
    <w:rsid w:val="00A25F7D"/>
    <w:rsid w:val="00A26152"/>
    <w:rsid w:val="00A26286"/>
    <w:rsid w:val="00A26E1B"/>
    <w:rsid w:val="00A27074"/>
    <w:rsid w:val="00A271B6"/>
    <w:rsid w:val="00A27308"/>
    <w:rsid w:val="00A273AB"/>
    <w:rsid w:val="00A27511"/>
    <w:rsid w:val="00A27841"/>
    <w:rsid w:val="00A27EA7"/>
    <w:rsid w:val="00A30B8C"/>
    <w:rsid w:val="00A30D1E"/>
    <w:rsid w:val="00A3165A"/>
    <w:rsid w:val="00A31B7E"/>
    <w:rsid w:val="00A327C5"/>
    <w:rsid w:val="00A32876"/>
    <w:rsid w:val="00A32C83"/>
    <w:rsid w:val="00A33A4C"/>
    <w:rsid w:val="00A345E9"/>
    <w:rsid w:val="00A348BC"/>
    <w:rsid w:val="00A34DA6"/>
    <w:rsid w:val="00A34FD5"/>
    <w:rsid w:val="00A355CA"/>
    <w:rsid w:val="00A3577F"/>
    <w:rsid w:val="00A35D48"/>
    <w:rsid w:val="00A35EDB"/>
    <w:rsid w:val="00A36481"/>
    <w:rsid w:val="00A364F4"/>
    <w:rsid w:val="00A369AA"/>
    <w:rsid w:val="00A36DBC"/>
    <w:rsid w:val="00A36FB8"/>
    <w:rsid w:val="00A3764D"/>
    <w:rsid w:val="00A37842"/>
    <w:rsid w:val="00A37BA0"/>
    <w:rsid w:val="00A37DE2"/>
    <w:rsid w:val="00A40633"/>
    <w:rsid w:val="00A416B1"/>
    <w:rsid w:val="00A419CD"/>
    <w:rsid w:val="00A42845"/>
    <w:rsid w:val="00A429A2"/>
    <w:rsid w:val="00A43493"/>
    <w:rsid w:val="00A43571"/>
    <w:rsid w:val="00A438BC"/>
    <w:rsid w:val="00A43DCC"/>
    <w:rsid w:val="00A44B19"/>
    <w:rsid w:val="00A45147"/>
    <w:rsid w:val="00A45A72"/>
    <w:rsid w:val="00A45E43"/>
    <w:rsid w:val="00A464FF"/>
    <w:rsid w:val="00A47246"/>
    <w:rsid w:val="00A4775C"/>
    <w:rsid w:val="00A47BEE"/>
    <w:rsid w:val="00A50828"/>
    <w:rsid w:val="00A5098C"/>
    <w:rsid w:val="00A50BB2"/>
    <w:rsid w:val="00A50D5A"/>
    <w:rsid w:val="00A51340"/>
    <w:rsid w:val="00A51480"/>
    <w:rsid w:val="00A52069"/>
    <w:rsid w:val="00A52B04"/>
    <w:rsid w:val="00A534F4"/>
    <w:rsid w:val="00A545B3"/>
    <w:rsid w:val="00A5513B"/>
    <w:rsid w:val="00A56841"/>
    <w:rsid w:val="00A570D4"/>
    <w:rsid w:val="00A57EDD"/>
    <w:rsid w:val="00A605DF"/>
    <w:rsid w:val="00A608FB"/>
    <w:rsid w:val="00A6099A"/>
    <w:rsid w:val="00A60FF5"/>
    <w:rsid w:val="00A61099"/>
    <w:rsid w:val="00A61264"/>
    <w:rsid w:val="00A618B9"/>
    <w:rsid w:val="00A61A13"/>
    <w:rsid w:val="00A61FB6"/>
    <w:rsid w:val="00A62BAA"/>
    <w:rsid w:val="00A62E3F"/>
    <w:rsid w:val="00A63037"/>
    <w:rsid w:val="00A63265"/>
    <w:rsid w:val="00A63608"/>
    <w:rsid w:val="00A63670"/>
    <w:rsid w:val="00A63687"/>
    <w:rsid w:val="00A63D9C"/>
    <w:rsid w:val="00A6499C"/>
    <w:rsid w:val="00A64E14"/>
    <w:rsid w:val="00A6514D"/>
    <w:rsid w:val="00A65728"/>
    <w:rsid w:val="00A65B36"/>
    <w:rsid w:val="00A6659E"/>
    <w:rsid w:val="00A66925"/>
    <w:rsid w:val="00A66F95"/>
    <w:rsid w:val="00A672C0"/>
    <w:rsid w:val="00A6742D"/>
    <w:rsid w:val="00A678CD"/>
    <w:rsid w:val="00A67FF8"/>
    <w:rsid w:val="00A70C60"/>
    <w:rsid w:val="00A70D8B"/>
    <w:rsid w:val="00A70F71"/>
    <w:rsid w:val="00A712B8"/>
    <w:rsid w:val="00A714D5"/>
    <w:rsid w:val="00A71DE0"/>
    <w:rsid w:val="00A725F4"/>
    <w:rsid w:val="00A730D0"/>
    <w:rsid w:val="00A73622"/>
    <w:rsid w:val="00A73C49"/>
    <w:rsid w:val="00A74657"/>
    <w:rsid w:val="00A7484B"/>
    <w:rsid w:val="00A74E11"/>
    <w:rsid w:val="00A75068"/>
    <w:rsid w:val="00A750CB"/>
    <w:rsid w:val="00A7548D"/>
    <w:rsid w:val="00A75ACF"/>
    <w:rsid w:val="00A75C1D"/>
    <w:rsid w:val="00A75CD9"/>
    <w:rsid w:val="00A75E32"/>
    <w:rsid w:val="00A7702B"/>
    <w:rsid w:val="00A776C6"/>
    <w:rsid w:val="00A776F9"/>
    <w:rsid w:val="00A805D4"/>
    <w:rsid w:val="00A80BB1"/>
    <w:rsid w:val="00A8107B"/>
    <w:rsid w:val="00A810E5"/>
    <w:rsid w:val="00A811F0"/>
    <w:rsid w:val="00A81999"/>
    <w:rsid w:val="00A81ED5"/>
    <w:rsid w:val="00A82026"/>
    <w:rsid w:val="00A82850"/>
    <w:rsid w:val="00A82879"/>
    <w:rsid w:val="00A82A34"/>
    <w:rsid w:val="00A82B99"/>
    <w:rsid w:val="00A830F1"/>
    <w:rsid w:val="00A836DD"/>
    <w:rsid w:val="00A83825"/>
    <w:rsid w:val="00A83BFD"/>
    <w:rsid w:val="00A844CA"/>
    <w:rsid w:val="00A84783"/>
    <w:rsid w:val="00A84A0A"/>
    <w:rsid w:val="00A852DB"/>
    <w:rsid w:val="00A853F9"/>
    <w:rsid w:val="00A8550E"/>
    <w:rsid w:val="00A85E8F"/>
    <w:rsid w:val="00A86D86"/>
    <w:rsid w:val="00A86EE3"/>
    <w:rsid w:val="00A870C5"/>
    <w:rsid w:val="00A8719A"/>
    <w:rsid w:val="00A87657"/>
    <w:rsid w:val="00A878FF"/>
    <w:rsid w:val="00A87DE0"/>
    <w:rsid w:val="00A90683"/>
    <w:rsid w:val="00A9148C"/>
    <w:rsid w:val="00A9202C"/>
    <w:rsid w:val="00A9204B"/>
    <w:rsid w:val="00A9238A"/>
    <w:rsid w:val="00A92D16"/>
    <w:rsid w:val="00A930B4"/>
    <w:rsid w:val="00A93184"/>
    <w:rsid w:val="00A93BC4"/>
    <w:rsid w:val="00A945E6"/>
    <w:rsid w:val="00A948C6"/>
    <w:rsid w:val="00A94968"/>
    <w:rsid w:val="00A94A43"/>
    <w:rsid w:val="00A95633"/>
    <w:rsid w:val="00A96100"/>
    <w:rsid w:val="00A962EB"/>
    <w:rsid w:val="00A96470"/>
    <w:rsid w:val="00A9697C"/>
    <w:rsid w:val="00A97BFF"/>
    <w:rsid w:val="00A97CCA"/>
    <w:rsid w:val="00AA0076"/>
    <w:rsid w:val="00AA04E3"/>
    <w:rsid w:val="00AA204F"/>
    <w:rsid w:val="00AA227E"/>
    <w:rsid w:val="00AA25E3"/>
    <w:rsid w:val="00AA2710"/>
    <w:rsid w:val="00AA2A9C"/>
    <w:rsid w:val="00AA2F52"/>
    <w:rsid w:val="00AA3668"/>
    <w:rsid w:val="00AA3922"/>
    <w:rsid w:val="00AA3F17"/>
    <w:rsid w:val="00AA436D"/>
    <w:rsid w:val="00AA4570"/>
    <w:rsid w:val="00AA49B4"/>
    <w:rsid w:val="00AA56B4"/>
    <w:rsid w:val="00AA5804"/>
    <w:rsid w:val="00AA5A4D"/>
    <w:rsid w:val="00AA5CF2"/>
    <w:rsid w:val="00AA5EBD"/>
    <w:rsid w:val="00AA60CE"/>
    <w:rsid w:val="00AA6C5E"/>
    <w:rsid w:val="00AA6FF9"/>
    <w:rsid w:val="00AA7B1C"/>
    <w:rsid w:val="00AB0C6E"/>
    <w:rsid w:val="00AB0E58"/>
    <w:rsid w:val="00AB1126"/>
    <w:rsid w:val="00AB1311"/>
    <w:rsid w:val="00AB1CC7"/>
    <w:rsid w:val="00AB23EA"/>
    <w:rsid w:val="00AB2405"/>
    <w:rsid w:val="00AB24DD"/>
    <w:rsid w:val="00AB3675"/>
    <w:rsid w:val="00AB39AD"/>
    <w:rsid w:val="00AB40A6"/>
    <w:rsid w:val="00AB43CA"/>
    <w:rsid w:val="00AB4DA2"/>
    <w:rsid w:val="00AB529C"/>
    <w:rsid w:val="00AB6000"/>
    <w:rsid w:val="00AB6A76"/>
    <w:rsid w:val="00AB6BBA"/>
    <w:rsid w:val="00AB6DE8"/>
    <w:rsid w:val="00AB6DF5"/>
    <w:rsid w:val="00AB72B0"/>
    <w:rsid w:val="00AB79A2"/>
    <w:rsid w:val="00AB7D13"/>
    <w:rsid w:val="00AB7E28"/>
    <w:rsid w:val="00AB7E99"/>
    <w:rsid w:val="00AB7FD1"/>
    <w:rsid w:val="00AC07C5"/>
    <w:rsid w:val="00AC0A8C"/>
    <w:rsid w:val="00AC1886"/>
    <w:rsid w:val="00AC196A"/>
    <w:rsid w:val="00AC1D57"/>
    <w:rsid w:val="00AC1F63"/>
    <w:rsid w:val="00AC2523"/>
    <w:rsid w:val="00AC2D8F"/>
    <w:rsid w:val="00AC355F"/>
    <w:rsid w:val="00AC3617"/>
    <w:rsid w:val="00AC37A4"/>
    <w:rsid w:val="00AC3938"/>
    <w:rsid w:val="00AC45B0"/>
    <w:rsid w:val="00AC4E58"/>
    <w:rsid w:val="00AC5EB7"/>
    <w:rsid w:val="00AC6445"/>
    <w:rsid w:val="00AC6645"/>
    <w:rsid w:val="00AC6A46"/>
    <w:rsid w:val="00AC7813"/>
    <w:rsid w:val="00AC782C"/>
    <w:rsid w:val="00AC7A15"/>
    <w:rsid w:val="00AC7FC8"/>
    <w:rsid w:val="00AD0665"/>
    <w:rsid w:val="00AD0ABE"/>
    <w:rsid w:val="00AD0B98"/>
    <w:rsid w:val="00AD1818"/>
    <w:rsid w:val="00AD193C"/>
    <w:rsid w:val="00AD19A3"/>
    <w:rsid w:val="00AD1A66"/>
    <w:rsid w:val="00AD1B05"/>
    <w:rsid w:val="00AD1BED"/>
    <w:rsid w:val="00AD2511"/>
    <w:rsid w:val="00AD28DA"/>
    <w:rsid w:val="00AD2F25"/>
    <w:rsid w:val="00AD318E"/>
    <w:rsid w:val="00AD3CC0"/>
    <w:rsid w:val="00AD4291"/>
    <w:rsid w:val="00AD42AF"/>
    <w:rsid w:val="00AD486E"/>
    <w:rsid w:val="00AD48CC"/>
    <w:rsid w:val="00AD4BDC"/>
    <w:rsid w:val="00AD4EDD"/>
    <w:rsid w:val="00AD54BC"/>
    <w:rsid w:val="00AD54F7"/>
    <w:rsid w:val="00AD5641"/>
    <w:rsid w:val="00AD5994"/>
    <w:rsid w:val="00AD5E75"/>
    <w:rsid w:val="00AD5EB4"/>
    <w:rsid w:val="00AD6598"/>
    <w:rsid w:val="00AD68CE"/>
    <w:rsid w:val="00AD723B"/>
    <w:rsid w:val="00AD78F8"/>
    <w:rsid w:val="00AD7CB6"/>
    <w:rsid w:val="00AD7DFC"/>
    <w:rsid w:val="00AD7FA0"/>
    <w:rsid w:val="00AE001F"/>
    <w:rsid w:val="00AE005C"/>
    <w:rsid w:val="00AE0674"/>
    <w:rsid w:val="00AE0EE0"/>
    <w:rsid w:val="00AE0FC3"/>
    <w:rsid w:val="00AE14B5"/>
    <w:rsid w:val="00AE1619"/>
    <w:rsid w:val="00AE22CD"/>
    <w:rsid w:val="00AE2740"/>
    <w:rsid w:val="00AE30C1"/>
    <w:rsid w:val="00AE320F"/>
    <w:rsid w:val="00AE3358"/>
    <w:rsid w:val="00AE33EA"/>
    <w:rsid w:val="00AE3464"/>
    <w:rsid w:val="00AE3584"/>
    <w:rsid w:val="00AE3601"/>
    <w:rsid w:val="00AE3857"/>
    <w:rsid w:val="00AE3937"/>
    <w:rsid w:val="00AE3B1C"/>
    <w:rsid w:val="00AE4465"/>
    <w:rsid w:val="00AE4618"/>
    <w:rsid w:val="00AE492A"/>
    <w:rsid w:val="00AE4AFF"/>
    <w:rsid w:val="00AE5594"/>
    <w:rsid w:val="00AE55AC"/>
    <w:rsid w:val="00AE57AE"/>
    <w:rsid w:val="00AE5873"/>
    <w:rsid w:val="00AE59AF"/>
    <w:rsid w:val="00AE5A44"/>
    <w:rsid w:val="00AE5B56"/>
    <w:rsid w:val="00AE5C90"/>
    <w:rsid w:val="00AE5CC4"/>
    <w:rsid w:val="00AE5E64"/>
    <w:rsid w:val="00AE61E1"/>
    <w:rsid w:val="00AE64B0"/>
    <w:rsid w:val="00AE6876"/>
    <w:rsid w:val="00AE6943"/>
    <w:rsid w:val="00AE6A71"/>
    <w:rsid w:val="00AE7499"/>
    <w:rsid w:val="00AE7774"/>
    <w:rsid w:val="00AF0127"/>
    <w:rsid w:val="00AF0C2D"/>
    <w:rsid w:val="00AF0E96"/>
    <w:rsid w:val="00AF1054"/>
    <w:rsid w:val="00AF1771"/>
    <w:rsid w:val="00AF1BAF"/>
    <w:rsid w:val="00AF1DBD"/>
    <w:rsid w:val="00AF23AD"/>
    <w:rsid w:val="00AF23BA"/>
    <w:rsid w:val="00AF2A0B"/>
    <w:rsid w:val="00AF2B41"/>
    <w:rsid w:val="00AF3034"/>
    <w:rsid w:val="00AF3D10"/>
    <w:rsid w:val="00AF45FD"/>
    <w:rsid w:val="00AF46BE"/>
    <w:rsid w:val="00AF4708"/>
    <w:rsid w:val="00AF5539"/>
    <w:rsid w:val="00AF5575"/>
    <w:rsid w:val="00AF68E9"/>
    <w:rsid w:val="00AF6D8F"/>
    <w:rsid w:val="00AF7750"/>
    <w:rsid w:val="00AF7B08"/>
    <w:rsid w:val="00AF7E5E"/>
    <w:rsid w:val="00AF7FD8"/>
    <w:rsid w:val="00B00003"/>
    <w:rsid w:val="00B00493"/>
    <w:rsid w:val="00B01503"/>
    <w:rsid w:val="00B01DE0"/>
    <w:rsid w:val="00B021D1"/>
    <w:rsid w:val="00B029F6"/>
    <w:rsid w:val="00B02D09"/>
    <w:rsid w:val="00B02FEC"/>
    <w:rsid w:val="00B03209"/>
    <w:rsid w:val="00B032F7"/>
    <w:rsid w:val="00B0334B"/>
    <w:rsid w:val="00B03426"/>
    <w:rsid w:val="00B0363A"/>
    <w:rsid w:val="00B0364D"/>
    <w:rsid w:val="00B03BD1"/>
    <w:rsid w:val="00B040EE"/>
    <w:rsid w:val="00B049CE"/>
    <w:rsid w:val="00B04B35"/>
    <w:rsid w:val="00B04ED6"/>
    <w:rsid w:val="00B053D0"/>
    <w:rsid w:val="00B0597C"/>
    <w:rsid w:val="00B05E08"/>
    <w:rsid w:val="00B064D0"/>
    <w:rsid w:val="00B0669D"/>
    <w:rsid w:val="00B06B1A"/>
    <w:rsid w:val="00B06FB1"/>
    <w:rsid w:val="00B078C0"/>
    <w:rsid w:val="00B07B32"/>
    <w:rsid w:val="00B103AE"/>
    <w:rsid w:val="00B10411"/>
    <w:rsid w:val="00B10769"/>
    <w:rsid w:val="00B107E6"/>
    <w:rsid w:val="00B1091D"/>
    <w:rsid w:val="00B10FBA"/>
    <w:rsid w:val="00B110E6"/>
    <w:rsid w:val="00B122DD"/>
    <w:rsid w:val="00B12949"/>
    <w:rsid w:val="00B12ABA"/>
    <w:rsid w:val="00B1325A"/>
    <w:rsid w:val="00B1375C"/>
    <w:rsid w:val="00B13B77"/>
    <w:rsid w:val="00B140E0"/>
    <w:rsid w:val="00B14187"/>
    <w:rsid w:val="00B144E2"/>
    <w:rsid w:val="00B1458A"/>
    <w:rsid w:val="00B14D37"/>
    <w:rsid w:val="00B161AE"/>
    <w:rsid w:val="00B163B3"/>
    <w:rsid w:val="00B1646B"/>
    <w:rsid w:val="00B1680E"/>
    <w:rsid w:val="00B17227"/>
    <w:rsid w:val="00B174A6"/>
    <w:rsid w:val="00B1758E"/>
    <w:rsid w:val="00B177D2"/>
    <w:rsid w:val="00B17858"/>
    <w:rsid w:val="00B17881"/>
    <w:rsid w:val="00B20009"/>
    <w:rsid w:val="00B206E0"/>
    <w:rsid w:val="00B20767"/>
    <w:rsid w:val="00B20B8A"/>
    <w:rsid w:val="00B21993"/>
    <w:rsid w:val="00B21CAC"/>
    <w:rsid w:val="00B21DD2"/>
    <w:rsid w:val="00B21EFE"/>
    <w:rsid w:val="00B21F29"/>
    <w:rsid w:val="00B223A6"/>
    <w:rsid w:val="00B22FAD"/>
    <w:rsid w:val="00B232AB"/>
    <w:rsid w:val="00B238F3"/>
    <w:rsid w:val="00B240BD"/>
    <w:rsid w:val="00B24785"/>
    <w:rsid w:val="00B25950"/>
    <w:rsid w:val="00B25D4F"/>
    <w:rsid w:val="00B25E91"/>
    <w:rsid w:val="00B25EFF"/>
    <w:rsid w:val="00B261BA"/>
    <w:rsid w:val="00B26370"/>
    <w:rsid w:val="00B265FE"/>
    <w:rsid w:val="00B26726"/>
    <w:rsid w:val="00B26F3B"/>
    <w:rsid w:val="00B26F4F"/>
    <w:rsid w:val="00B27162"/>
    <w:rsid w:val="00B27BE0"/>
    <w:rsid w:val="00B3015E"/>
    <w:rsid w:val="00B30439"/>
    <w:rsid w:val="00B304A6"/>
    <w:rsid w:val="00B30B2A"/>
    <w:rsid w:val="00B3156C"/>
    <w:rsid w:val="00B31D0F"/>
    <w:rsid w:val="00B325E9"/>
    <w:rsid w:val="00B328B3"/>
    <w:rsid w:val="00B32AD8"/>
    <w:rsid w:val="00B32C61"/>
    <w:rsid w:val="00B33536"/>
    <w:rsid w:val="00B33BE5"/>
    <w:rsid w:val="00B347D0"/>
    <w:rsid w:val="00B3491E"/>
    <w:rsid w:val="00B34967"/>
    <w:rsid w:val="00B358FB"/>
    <w:rsid w:val="00B35BD1"/>
    <w:rsid w:val="00B36080"/>
    <w:rsid w:val="00B36159"/>
    <w:rsid w:val="00B368B0"/>
    <w:rsid w:val="00B36B68"/>
    <w:rsid w:val="00B36FBC"/>
    <w:rsid w:val="00B3702A"/>
    <w:rsid w:val="00B37801"/>
    <w:rsid w:val="00B378FA"/>
    <w:rsid w:val="00B37D2F"/>
    <w:rsid w:val="00B37ED5"/>
    <w:rsid w:val="00B406C8"/>
    <w:rsid w:val="00B40C64"/>
    <w:rsid w:val="00B40C7E"/>
    <w:rsid w:val="00B40F37"/>
    <w:rsid w:val="00B4206D"/>
    <w:rsid w:val="00B42317"/>
    <w:rsid w:val="00B4255E"/>
    <w:rsid w:val="00B42836"/>
    <w:rsid w:val="00B42BA9"/>
    <w:rsid w:val="00B434C1"/>
    <w:rsid w:val="00B44470"/>
    <w:rsid w:val="00B4457E"/>
    <w:rsid w:val="00B448A1"/>
    <w:rsid w:val="00B45941"/>
    <w:rsid w:val="00B45B9B"/>
    <w:rsid w:val="00B45E02"/>
    <w:rsid w:val="00B461DF"/>
    <w:rsid w:val="00B46C63"/>
    <w:rsid w:val="00B4738B"/>
    <w:rsid w:val="00B47576"/>
    <w:rsid w:val="00B47DC7"/>
    <w:rsid w:val="00B5045B"/>
    <w:rsid w:val="00B50B5C"/>
    <w:rsid w:val="00B50C6A"/>
    <w:rsid w:val="00B50D62"/>
    <w:rsid w:val="00B51014"/>
    <w:rsid w:val="00B51994"/>
    <w:rsid w:val="00B51A68"/>
    <w:rsid w:val="00B525D4"/>
    <w:rsid w:val="00B525F3"/>
    <w:rsid w:val="00B5263F"/>
    <w:rsid w:val="00B52E2B"/>
    <w:rsid w:val="00B5324E"/>
    <w:rsid w:val="00B5324F"/>
    <w:rsid w:val="00B53644"/>
    <w:rsid w:val="00B539BF"/>
    <w:rsid w:val="00B53C5F"/>
    <w:rsid w:val="00B5422D"/>
    <w:rsid w:val="00B54677"/>
    <w:rsid w:val="00B5493E"/>
    <w:rsid w:val="00B54AAC"/>
    <w:rsid w:val="00B54BBE"/>
    <w:rsid w:val="00B54C2D"/>
    <w:rsid w:val="00B54C96"/>
    <w:rsid w:val="00B55370"/>
    <w:rsid w:val="00B554F4"/>
    <w:rsid w:val="00B5583B"/>
    <w:rsid w:val="00B56065"/>
    <w:rsid w:val="00B56492"/>
    <w:rsid w:val="00B56E75"/>
    <w:rsid w:val="00B57626"/>
    <w:rsid w:val="00B57701"/>
    <w:rsid w:val="00B5787E"/>
    <w:rsid w:val="00B57D3D"/>
    <w:rsid w:val="00B57FF7"/>
    <w:rsid w:val="00B600F2"/>
    <w:rsid w:val="00B6038C"/>
    <w:rsid w:val="00B605D9"/>
    <w:rsid w:val="00B60958"/>
    <w:rsid w:val="00B6100B"/>
    <w:rsid w:val="00B61EAF"/>
    <w:rsid w:val="00B6271B"/>
    <w:rsid w:val="00B62C8C"/>
    <w:rsid w:val="00B63355"/>
    <w:rsid w:val="00B63B53"/>
    <w:rsid w:val="00B63F62"/>
    <w:rsid w:val="00B64900"/>
    <w:rsid w:val="00B64A02"/>
    <w:rsid w:val="00B64E72"/>
    <w:rsid w:val="00B64E9E"/>
    <w:rsid w:val="00B64EC2"/>
    <w:rsid w:val="00B65785"/>
    <w:rsid w:val="00B6581A"/>
    <w:rsid w:val="00B65D2C"/>
    <w:rsid w:val="00B66034"/>
    <w:rsid w:val="00B660A5"/>
    <w:rsid w:val="00B66F42"/>
    <w:rsid w:val="00B6746A"/>
    <w:rsid w:val="00B6757A"/>
    <w:rsid w:val="00B6783D"/>
    <w:rsid w:val="00B70137"/>
    <w:rsid w:val="00B7067D"/>
    <w:rsid w:val="00B70707"/>
    <w:rsid w:val="00B70981"/>
    <w:rsid w:val="00B70CE3"/>
    <w:rsid w:val="00B70EAE"/>
    <w:rsid w:val="00B7102C"/>
    <w:rsid w:val="00B714F5"/>
    <w:rsid w:val="00B71964"/>
    <w:rsid w:val="00B72199"/>
    <w:rsid w:val="00B7226D"/>
    <w:rsid w:val="00B72737"/>
    <w:rsid w:val="00B72913"/>
    <w:rsid w:val="00B7328C"/>
    <w:rsid w:val="00B732C7"/>
    <w:rsid w:val="00B73EE9"/>
    <w:rsid w:val="00B74624"/>
    <w:rsid w:val="00B746E6"/>
    <w:rsid w:val="00B7489B"/>
    <w:rsid w:val="00B749B1"/>
    <w:rsid w:val="00B74ADD"/>
    <w:rsid w:val="00B752B2"/>
    <w:rsid w:val="00B75641"/>
    <w:rsid w:val="00B75A2E"/>
    <w:rsid w:val="00B75B71"/>
    <w:rsid w:val="00B75CEE"/>
    <w:rsid w:val="00B76707"/>
    <w:rsid w:val="00B7732E"/>
    <w:rsid w:val="00B77463"/>
    <w:rsid w:val="00B777F1"/>
    <w:rsid w:val="00B77F26"/>
    <w:rsid w:val="00B80D11"/>
    <w:rsid w:val="00B812FE"/>
    <w:rsid w:val="00B820A1"/>
    <w:rsid w:val="00B824B1"/>
    <w:rsid w:val="00B8284E"/>
    <w:rsid w:val="00B82A7B"/>
    <w:rsid w:val="00B82C60"/>
    <w:rsid w:val="00B837E8"/>
    <w:rsid w:val="00B845B3"/>
    <w:rsid w:val="00B84A14"/>
    <w:rsid w:val="00B84A71"/>
    <w:rsid w:val="00B84D5E"/>
    <w:rsid w:val="00B855CB"/>
    <w:rsid w:val="00B856C0"/>
    <w:rsid w:val="00B85F72"/>
    <w:rsid w:val="00B85FA1"/>
    <w:rsid w:val="00B86073"/>
    <w:rsid w:val="00B8625B"/>
    <w:rsid w:val="00B86C2D"/>
    <w:rsid w:val="00B86EFE"/>
    <w:rsid w:val="00B86F23"/>
    <w:rsid w:val="00B875D9"/>
    <w:rsid w:val="00B8760C"/>
    <w:rsid w:val="00B87919"/>
    <w:rsid w:val="00B87CDD"/>
    <w:rsid w:val="00B87D97"/>
    <w:rsid w:val="00B87DC5"/>
    <w:rsid w:val="00B90691"/>
    <w:rsid w:val="00B908EC"/>
    <w:rsid w:val="00B909C6"/>
    <w:rsid w:val="00B90D15"/>
    <w:rsid w:val="00B9102D"/>
    <w:rsid w:val="00B91281"/>
    <w:rsid w:val="00B92499"/>
    <w:rsid w:val="00B92545"/>
    <w:rsid w:val="00B9270D"/>
    <w:rsid w:val="00B92DB1"/>
    <w:rsid w:val="00B92DE2"/>
    <w:rsid w:val="00B933EF"/>
    <w:rsid w:val="00B93525"/>
    <w:rsid w:val="00B93A4A"/>
    <w:rsid w:val="00B93C3F"/>
    <w:rsid w:val="00B941FC"/>
    <w:rsid w:val="00B94320"/>
    <w:rsid w:val="00B944CE"/>
    <w:rsid w:val="00B94C01"/>
    <w:rsid w:val="00B94EE3"/>
    <w:rsid w:val="00B95AA2"/>
    <w:rsid w:val="00B95CED"/>
    <w:rsid w:val="00B96876"/>
    <w:rsid w:val="00B96BDE"/>
    <w:rsid w:val="00B96CBF"/>
    <w:rsid w:val="00B97650"/>
    <w:rsid w:val="00BA046C"/>
    <w:rsid w:val="00BA07FC"/>
    <w:rsid w:val="00BA0C93"/>
    <w:rsid w:val="00BA1089"/>
    <w:rsid w:val="00BA1331"/>
    <w:rsid w:val="00BA15D4"/>
    <w:rsid w:val="00BA1D7B"/>
    <w:rsid w:val="00BA2F42"/>
    <w:rsid w:val="00BA331F"/>
    <w:rsid w:val="00BA3739"/>
    <w:rsid w:val="00BA3916"/>
    <w:rsid w:val="00BA3B00"/>
    <w:rsid w:val="00BA3C7D"/>
    <w:rsid w:val="00BA4783"/>
    <w:rsid w:val="00BA4B80"/>
    <w:rsid w:val="00BA5C56"/>
    <w:rsid w:val="00BA65F3"/>
    <w:rsid w:val="00BA677B"/>
    <w:rsid w:val="00BA68FD"/>
    <w:rsid w:val="00BA6FC9"/>
    <w:rsid w:val="00BA71E3"/>
    <w:rsid w:val="00BA71F8"/>
    <w:rsid w:val="00BB0186"/>
    <w:rsid w:val="00BB01DA"/>
    <w:rsid w:val="00BB06CF"/>
    <w:rsid w:val="00BB109A"/>
    <w:rsid w:val="00BB1E16"/>
    <w:rsid w:val="00BB28E0"/>
    <w:rsid w:val="00BB2D37"/>
    <w:rsid w:val="00BB4842"/>
    <w:rsid w:val="00BB4B4C"/>
    <w:rsid w:val="00BB518C"/>
    <w:rsid w:val="00BB5260"/>
    <w:rsid w:val="00BB571F"/>
    <w:rsid w:val="00BB596E"/>
    <w:rsid w:val="00BB5A64"/>
    <w:rsid w:val="00BB5AA7"/>
    <w:rsid w:val="00BB5B14"/>
    <w:rsid w:val="00BB6A60"/>
    <w:rsid w:val="00BB6C75"/>
    <w:rsid w:val="00BB7462"/>
    <w:rsid w:val="00BB7537"/>
    <w:rsid w:val="00BB7D95"/>
    <w:rsid w:val="00BC046D"/>
    <w:rsid w:val="00BC05D4"/>
    <w:rsid w:val="00BC07D8"/>
    <w:rsid w:val="00BC0941"/>
    <w:rsid w:val="00BC0F69"/>
    <w:rsid w:val="00BC1411"/>
    <w:rsid w:val="00BC1549"/>
    <w:rsid w:val="00BC191E"/>
    <w:rsid w:val="00BC22AD"/>
    <w:rsid w:val="00BC41BC"/>
    <w:rsid w:val="00BC425B"/>
    <w:rsid w:val="00BC4644"/>
    <w:rsid w:val="00BC495D"/>
    <w:rsid w:val="00BC4A4D"/>
    <w:rsid w:val="00BC4F77"/>
    <w:rsid w:val="00BC4FA0"/>
    <w:rsid w:val="00BC52DB"/>
    <w:rsid w:val="00BC5BF9"/>
    <w:rsid w:val="00BC6339"/>
    <w:rsid w:val="00BC66C0"/>
    <w:rsid w:val="00BC6F35"/>
    <w:rsid w:val="00BC6FFC"/>
    <w:rsid w:val="00BC760B"/>
    <w:rsid w:val="00BD07B5"/>
    <w:rsid w:val="00BD0E0F"/>
    <w:rsid w:val="00BD1793"/>
    <w:rsid w:val="00BD1821"/>
    <w:rsid w:val="00BD1A8C"/>
    <w:rsid w:val="00BD1C0F"/>
    <w:rsid w:val="00BD1FAE"/>
    <w:rsid w:val="00BD22EB"/>
    <w:rsid w:val="00BD2879"/>
    <w:rsid w:val="00BD3039"/>
    <w:rsid w:val="00BD3D34"/>
    <w:rsid w:val="00BD4E33"/>
    <w:rsid w:val="00BD57C0"/>
    <w:rsid w:val="00BD5AB5"/>
    <w:rsid w:val="00BD6142"/>
    <w:rsid w:val="00BD6B2C"/>
    <w:rsid w:val="00BD6C99"/>
    <w:rsid w:val="00BD6F35"/>
    <w:rsid w:val="00BD6F45"/>
    <w:rsid w:val="00BD6F5E"/>
    <w:rsid w:val="00BD7B03"/>
    <w:rsid w:val="00BD7F7B"/>
    <w:rsid w:val="00BD7FE8"/>
    <w:rsid w:val="00BE1978"/>
    <w:rsid w:val="00BE1C5B"/>
    <w:rsid w:val="00BE210B"/>
    <w:rsid w:val="00BE2BEB"/>
    <w:rsid w:val="00BE2FB8"/>
    <w:rsid w:val="00BE3256"/>
    <w:rsid w:val="00BE3690"/>
    <w:rsid w:val="00BE3A41"/>
    <w:rsid w:val="00BE3B20"/>
    <w:rsid w:val="00BE4019"/>
    <w:rsid w:val="00BE4225"/>
    <w:rsid w:val="00BE4850"/>
    <w:rsid w:val="00BE49A4"/>
    <w:rsid w:val="00BE4A55"/>
    <w:rsid w:val="00BE5201"/>
    <w:rsid w:val="00BE5653"/>
    <w:rsid w:val="00BE5CB2"/>
    <w:rsid w:val="00BE637F"/>
    <w:rsid w:val="00BE6883"/>
    <w:rsid w:val="00BE6932"/>
    <w:rsid w:val="00BE6CD0"/>
    <w:rsid w:val="00BE77D5"/>
    <w:rsid w:val="00BE7B94"/>
    <w:rsid w:val="00BE7CA1"/>
    <w:rsid w:val="00BF0252"/>
    <w:rsid w:val="00BF042A"/>
    <w:rsid w:val="00BF0633"/>
    <w:rsid w:val="00BF0A86"/>
    <w:rsid w:val="00BF192D"/>
    <w:rsid w:val="00BF1D1B"/>
    <w:rsid w:val="00BF1F57"/>
    <w:rsid w:val="00BF208B"/>
    <w:rsid w:val="00BF2629"/>
    <w:rsid w:val="00BF2D68"/>
    <w:rsid w:val="00BF2DEF"/>
    <w:rsid w:val="00BF2F9B"/>
    <w:rsid w:val="00BF32C3"/>
    <w:rsid w:val="00BF3411"/>
    <w:rsid w:val="00BF3AB7"/>
    <w:rsid w:val="00BF3B4E"/>
    <w:rsid w:val="00BF3D7D"/>
    <w:rsid w:val="00BF3E36"/>
    <w:rsid w:val="00BF426F"/>
    <w:rsid w:val="00BF468C"/>
    <w:rsid w:val="00BF4D31"/>
    <w:rsid w:val="00BF4D58"/>
    <w:rsid w:val="00BF5055"/>
    <w:rsid w:val="00BF5492"/>
    <w:rsid w:val="00BF5D39"/>
    <w:rsid w:val="00BF5FD0"/>
    <w:rsid w:val="00BF6041"/>
    <w:rsid w:val="00BF60BD"/>
    <w:rsid w:val="00BF6306"/>
    <w:rsid w:val="00BF648A"/>
    <w:rsid w:val="00BF654A"/>
    <w:rsid w:val="00BF6811"/>
    <w:rsid w:val="00BF75F3"/>
    <w:rsid w:val="00BF7DE4"/>
    <w:rsid w:val="00C00488"/>
    <w:rsid w:val="00C00F12"/>
    <w:rsid w:val="00C013E1"/>
    <w:rsid w:val="00C02573"/>
    <w:rsid w:val="00C02607"/>
    <w:rsid w:val="00C02621"/>
    <w:rsid w:val="00C02791"/>
    <w:rsid w:val="00C02BDA"/>
    <w:rsid w:val="00C0370C"/>
    <w:rsid w:val="00C03822"/>
    <w:rsid w:val="00C03932"/>
    <w:rsid w:val="00C03A57"/>
    <w:rsid w:val="00C03A90"/>
    <w:rsid w:val="00C03FC7"/>
    <w:rsid w:val="00C0475B"/>
    <w:rsid w:val="00C048DC"/>
    <w:rsid w:val="00C04D32"/>
    <w:rsid w:val="00C04FCB"/>
    <w:rsid w:val="00C0519A"/>
    <w:rsid w:val="00C05281"/>
    <w:rsid w:val="00C05CFB"/>
    <w:rsid w:val="00C068DC"/>
    <w:rsid w:val="00C069AA"/>
    <w:rsid w:val="00C06DBA"/>
    <w:rsid w:val="00C071C8"/>
    <w:rsid w:val="00C07AE3"/>
    <w:rsid w:val="00C07DD4"/>
    <w:rsid w:val="00C1047C"/>
    <w:rsid w:val="00C104C9"/>
    <w:rsid w:val="00C1091A"/>
    <w:rsid w:val="00C10ACF"/>
    <w:rsid w:val="00C10CA3"/>
    <w:rsid w:val="00C10CD0"/>
    <w:rsid w:val="00C1182C"/>
    <w:rsid w:val="00C11917"/>
    <w:rsid w:val="00C1198A"/>
    <w:rsid w:val="00C120A9"/>
    <w:rsid w:val="00C1260D"/>
    <w:rsid w:val="00C12B21"/>
    <w:rsid w:val="00C12B62"/>
    <w:rsid w:val="00C1309A"/>
    <w:rsid w:val="00C1367D"/>
    <w:rsid w:val="00C13D9B"/>
    <w:rsid w:val="00C1443D"/>
    <w:rsid w:val="00C159ED"/>
    <w:rsid w:val="00C15C07"/>
    <w:rsid w:val="00C16105"/>
    <w:rsid w:val="00C16156"/>
    <w:rsid w:val="00C161E7"/>
    <w:rsid w:val="00C16449"/>
    <w:rsid w:val="00C16A14"/>
    <w:rsid w:val="00C1703A"/>
    <w:rsid w:val="00C172C4"/>
    <w:rsid w:val="00C172E8"/>
    <w:rsid w:val="00C1739B"/>
    <w:rsid w:val="00C17B9C"/>
    <w:rsid w:val="00C17BDF"/>
    <w:rsid w:val="00C17D6C"/>
    <w:rsid w:val="00C2035B"/>
    <w:rsid w:val="00C2068B"/>
    <w:rsid w:val="00C20AEE"/>
    <w:rsid w:val="00C212E4"/>
    <w:rsid w:val="00C22673"/>
    <w:rsid w:val="00C22B15"/>
    <w:rsid w:val="00C23209"/>
    <w:rsid w:val="00C23335"/>
    <w:rsid w:val="00C234E1"/>
    <w:rsid w:val="00C23A7E"/>
    <w:rsid w:val="00C242AE"/>
    <w:rsid w:val="00C24CAD"/>
    <w:rsid w:val="00C24F66"/>
    <w:rsid w:val="00C25320"/>
    <w:rsid w:val="00C256CC"/>
    <w:rsid w:val="00C25818"/>
    <w:rsid w:val="00C25F70"/>
    <w:rsid w:val="00C26234"/>
    <w:rsid w:val="00C2627D"/>
    <w:rsid w:val="00C263F0"/>
    <w:rsid w:val="00C26F4C"/>
    <w:rsid w:val="00C27102"/>
    <w:rsid w:val="00C2722B"/>
    <w:rsid w:val="00C2735C"/>
    <w:rsid w:val="00C2738D"/>
    <w:rsid w:val="00C275D0"/>
    <w:rsid w:val="00C2764E"/>
    <w:rsid w:val="00C27A16"/>
    <w:rsid w:val="00C27B27"/>
    <w:rsid w:val="00C27BDA"/>
    <w:rsid w:val="00C27FA1"/>
    <w:rsid w:val="00C307F2"/>
    <w:rsid w:val="00C30928"/>
    <w:rsid w:val="00C30FA6"/>
    <w:rsid w:val="00C320A7"/>
    <w:rsid w:val="00C32446"/>
    <w:rsid w:val="00C326F6"/>
    <w:rsid w:val="00C329F3"/>
    <w:rsid w:val="00C33131"/>
    <w:rsid w:val="00C332DE"/>
    <w:rsid w:val="00C33300"/>
    <w:rsid w:val="00C33480"/>
    <w:rsid w:val="00C33C88"/>
    <w:rsid w:val="00C3576B"/>
    <w:rsid w:val="00C358B4"/>
    <w:rsid w:val="00C368C0"/>
    <w:rsid w:val="00C368FA"/>
    <w:rsid w:val="00C36C55"/>
    <w:rsid w:val="00C36CE4"/>
    <w:rsid w:val="00C37124"/>
    <w:rsid w:val="00C3713E"/>
    <w:rsid w:val="00C37F0E"/>
    <w:rsid w:val="00C40A63"/>
    <w:rsid w:val="00C40AF8"/>
    <w:rsid w:val="00C40C8B"/>
    <w:rsid w:val="00C40CFC"/>
    <w:rsid w:val="00C40DEC"/>
    <w:rsid w:val="00C41223"/>
    <w:rsid w:val="00C41406"/>
    <w:rsid w:val="00C41827"/>
    <w:rsid w:val="00C422F0"/>
    <w:rsid w:val="00C42343"/>
    <w:rsid w:val="00C42655"/>
    <w:rsid w:val="00C42681"/>
    <w:rsid w:val="00C42A95"/>
    <w:rsid w:val="00C42E68"/>
    <w:rsid w:val="00C4332F"/>
    <w:rsid w:val="00C436B8"/>
    <w:rsid w:val="00C4392D"/>
    <w:rsid w:val="00C43B61"/>
    <w:rsid w:val="00C449A9"/>
    <w:rsid w:val="00C44AB4"/>
    <w:rsid w:val="00C44B95"/>
    <w:rsid w:val="00C44D2F"/>
    <w:rsid w:val="00C45591"/>
    <w:rsid w:val="00C4573B"/>
    <w:rsid w:val="00C45B29"/>
    <w:rsid w:val="00C45EB6"/>
    <w:rsid w:val="00C46583"/>
    <w:rsid w:val="00C465EB"/>
    <w:rsid w:val="00C468D3"/>
    <w:rsid w:val="00C46B18"/>
    <w:rsid w:val="00C47AE7"/>
    <w:rsid w:val="00C5006B"/>
    <w:rsid w:val="00C50664"/>
    <w:rsid w:val="00C50967"/>
    <w:rsid w:val="00C50B83"/>
    <w:rsid w:val="00C51469"/>
    <w:rsid w:val="00C51A91"/>
    <w:rsid w:val="00C51B57"/>
    <w:rsid w:val="00C51C06"/>
    <w:rsid w:val="00C51D3B"/>
    <w:rsid w:val="00C51FFB"/>
    <w:rsid w:val="00C523E7"/>
    <w:rsid w:val="00C52653"/>
    <w:rsid w:val="00C52B08"/>
    <w:rsid w:val="00C52BE4"/>
    <w:rsid w:val="00C53015"/>
    <w:rsid w:val="00C538C2"/>
    <w:rsid w:val="00C5399F"/>
    <w:rsid w:val="00C54069"/>
    <w:rsid w:val="00C5468E"/>
    <w:rsid w:val="00C5492E"/>
    <w:rsid w:val="00C54C65"/>
    <w:rsid w:val="00C54E0A"/>
    <w:rsid w:val="00C551D4"/>
    <w:rsid w:val="00C553C8"/>
    <w:rsid w:val="00C55A8A"/>
    <w:rsid w:val="00C56006"/>
    <w:rsid w:val="00C562CB"/>
    <w:rsid w:val="00C562F8"/>
    <w:rsid w:val="00C56787"/>
    <w:rsid w:val="00C568FC"/>
    <w:rsid w:val="00C56A36"/>
    <w:rsid w:val="00C56ADE"/>
    <w:rsid w:val="00C56B7F"/>
    <w:rsid w:val="00C5711D"/>
    <w:rsid w:val="00C5714C"/>
    <w:rsid w:val="00C57262"/>
    <w:rsid w:val="00C5772E"/>
    <w:rsid w:val="00C57F42"/>
    <w:rsid w:val="00C600EA"/>
    <w:rsid w:val="00C60349"/>
    <w:rsid w:val="00C603D9"/>
    <w:rsid w:val="00C6078E"/>
    <w:rsid w:val="00C6107B"/>
    <w:rsid w:val="00C61459"/>
    <w:rsid w:val="00C6146F"/>
    <w:rsid w:val="00C61824"/>
    <w:rsid w:val="00C61AF6"/>
    <w:rsid w:val="00C62240"/>
    <w:rsid w:val="00C63373"/>
    <w:rsid w:val="00C63B68"/>
    <w:rsid w:val="00C640B8"/>
    <w:rsid w:val="00C642DF"/>
    <w:rsid w:val="00C64463"/>
    <w:rsid w:val="00C64A29"/>
    <w:rsid w:val="00C65109"/>
    <w:rsid w:val="00C6552D"/>
    <w:rsid w:val="00C656B9"/>
    <w:rsid w:val="00C658C2"/>
    <w:rsid w:val="00C65BEA"/>
    <w:rsid w:val="00C65DB9"/>
    <w:rsid w:val="00C66AC5"/>
    <w:rsid w:val="00C670D2"/>
    <w:rsid w:val="00C671C6"/>
    <w:rsid w:val="00C671EE"/>
    <w:rsid w:val="00C672B9"/>
    <w:rsid w:val="00C67534"/>
    <w:rsid w:val="00C6763D"/>
    <w:rsid w:val="00C70D00"/>
    <w:rsid w:val="00C71913"/>
    <w:rsid w:val="00C71A80"/>
    <w:rsid w:val="00C71BF4"/>
    <w:rsid w:val="00C72752"/>
    <w:rsid w:val="00C72986"/>
    <w:rsid w:val="00C72B00"/>
    <w:rsid w:val="00C72D1A"/>
    <w:rsid w:val="00C736D6"/>
    <w:rsid w:val="00C740E2"/>
    <w:rsid w:val="00C744BF"/>
    <w:rsid w:val="00C74CBE"/>
    <w:rsid w:val="00C750EA"/>
    <w:rsid w:val="00C75471"/>
    <w:rsid w:val="00C75A8A"/>
    <w:rsid w:val="00C75D9E"/>
    <w:rsid w:val="00C75FC3"/>
    <w:rsid w:val="00C76157"/>
    <w:rsid w:val="00C76E33"/>
    <w:rsid w:val="00C7743B"/>
    <w:rsid w:val="00C77573"/>
    <w:rsid w:val="00C776AB"/>
    <w:rsid w:val="00C778B1"/>
    <w:rsid w:val="00C779E5"/>
    <w:rsid w:val="00C77A61"/>
    <w:rsid w:val="00C804F7"/>
    <w:rsid w:val="00C80E79"/>
    <w:rsid w:val="00C81025"/>
    <w:rsid w:val="00C814D3"/>
    <w:rsid w:val="00C81A61"/>
    <w:rsid w:val="00C821F7"/>
    <w:rsid w:val="00C8340E"/>
    <w:rsid w:val="00C83870"/>
    <w:rsid w:val="00C83898"/>
    <w:rsid w:val="00C83902"/>
    <w:rsid w:val="00C839A2"/>
    <w:rsid w:val="00C83E9A"/>
    <w:rsid w:val="00C8415C"/>
    <w:rsid w:val="00C842DB"/>
    <w:rsid w:val="00C84625"/>
    <w:rsid w:val="00C8471D"/>
    <w:rsid w:val="00C84ECC"/>
    <w:rsid w:val="00C85636"/>
    <w:rsid w:val="00C85F3D"/>
    <w:rsid w:val="00C86490"/>
    <w:rsid w:val="00C87795"/>
    <w:rsid w:val="00C87BD6"/>
    <w:rsid w:val="00C9028A"/>
    <w:rsid w:val="00C9036D"/>
    <w:rsid w:val="00C90D23"/>
    <w:rsid w:val="00C9125C"/>
    <w:rsid w:val="00C91524"/>
    <w:rsid w:val="00C91780"/>
    <w:rsid w:val="00C91BD9"/>
    <w:rsid w:val="00C92B20"/>
    <w:rsid w:val="00C935D8"/>
    <w:rsid w:val="00C939BB"/>
    <w:rsid w:val="00C93B82"/>
    <w:rsid w:val="00C94538"/>
    <w:rsid w:val="00C94DAF"/>
    <w:rsid w:val="00C94E79"/>
    <w:rsid w:val="00C94FBC"/>
    <w:rsid w:val="00C9571E"/>
    <w:rsid w:val="00C95D45"/>
    <w:rsid w:val="00C95F06"/>
    <w:rsid w:val="00C9712D"/>
    <w:rsid w:val="00C973E8"/>
    <w:rsid w:val="00C97A39"/>
    <w:rsid w:val="00C97C71"/>
    <w:rsid w:val="00C97CE0"/>
    <w:rsid w:val="00C97E1D"/>
    <w:rsid w:val="00CA05CA"/>
    <w:rsid w:val="00CA0CD0"/>
    <w:rsid w:val="00CA0F3F"/>
    <w:rsid w:val="00CA0F5D"/>
    <w:rsid w:val="00CA0FBF"/>
    <w:rsid w:val="00CA1215"/>
    <w:rsid w:val="00CA1444"/>
    <w:rsid w:val="00CA14ED"/>
    <w:rsid w:val="00CA18DA"/>
    <w:rsid w:val="00CA1E08"/>
    <w:rsid w:val="00CA2076"/>
    <w:rsid w:val="00CA21E6"/>
    <w:rsid w:val="00CA22ED"/>
    <w:rsid w:val="00CA2FD2"/>
    <w:rsid w:val="00CA308C"/>
    <w:rsid w:val="00CA3619"/>
    <w:rsid w:val="00CA3F60"/>
    <w:rsid w:val="00CA449C"/>
    <w:rsid w:val="00CA5138"/>
    <w:rsid w:val="00CA525E"/>
    <w:rsid w:val="00CA55AC"/>
    <w:rsid w:val="00CA5CFA"/>
    <w:rsid w:val="00CA611B"/>
    <w:rsid w:val="00CA643C"/>
    <w:rsid w:val="00CA6477"/>
    <w:rsid w:val="00CA68D8"/>
    <w:rsid w:val="00CA6A70"/>
    <w:rsid w:val="00CA6AD2"/>
    <w:rsid w:val="00CA6C6A"/>
    <w:rsid w:val="00CA6DCF"/>
    <w:rsid w:val="00CA7FA7"/>
    <w:rsid w:val="00CB00CF"/>
    <w:rsid w:val="00CB0333"/>
    <w:rsid w:val="00CB09AC"/>
    <w:rsid w:val="00CB0F10"/>
    <w:rsid w:val="00CB1B71"/>
    <w:rsid w:val="00CB1D08"/>
    <w:rsid w:val="00CB23FE"/>
    <w:rsid w:val="00CB38D1"/>
    <w:rsid w:val="00CB3D9E"/>
    <w:rsid w:val="00CB4672"/>
    <w:rsid w:val="00CB4845"/>
    <w:rsid w:val="00CB59CE"/>
    <w:rsid w:val="00CB5FD0"/>
    <w:rsid w:val="00CB7178"/>
    <w:rsid w:val="00CB7233"/>
    <w:rsid w:val="00CB741F"/>
    <w:rsid w:val="00CB7510"/>
    <w:rsid w:val="00CB7A8E"/>
    <w:rsid w:val="00CC0048"/>
    <w:rsid w:val="00CC033D"/>
    <w:rsid w:val="00CC0B43"/>
    <w:rsid w:val="00CC1CDA"/>
    <w:rsid w:val="00CC25A7"/>
    <w:rsid w:val="00CC29EA"/>
    <w:rsid w:val="00CC2C1D"/>
    <w:rsid w:val="00CC3895"/>
    <w:rsid w:val="00CC3B4F"/>
    <w:rsid w:val="00CC3ECC"/>
    <w:rsid w:val="00CC486B"/>
    <w:rsid w:val="00CC4C2B"/>
    <w:rsid w:val="00CC4C71"/>
    <w:rsid w:val="00CC4FA9"/>
    <w:rsid w:val="00CC5095"/>
    <w:rsid w:val="00CC51AF"/>
    <w:rsid w:val="00CC528F"/>
    <w:rsid w:val="00CC5C70"/>
    <w:rsid w:val="00CC5C78"/>
    <w:rsid w:val="00CC6056"/>
    <w:rsid w:val="00CC61C4"/>
    <w:rsid w:val="00CC6296"/>
    <w:rsid w:val="00CC67D0"/>
    <w:rsid w:val="00CC6C4D"/>
    <w:rsid w:val="00CC6C55"/>
    <w:rsid w:val="00CC6DE6"/>
    <w:rsid w:val="00CC72F6"/>
    <w:rsid w:val="00CC79AE"/>
    <w:rsid w:val="00CD016C"/>
    <w:rsid w:val="00CD04C8"/>
    <w:rsid w:val="00CD0D68"/>
    <w:rsid w:val="00CD1021"/>
    <w:rsid w:val="00CD10CC"/>
    <w:rsid w:val="00CD1C81"/>
    <w:rsid w:val="00CD207B"/>
    <w:rsid w:val="00CD211A"/>
    <w:rsid w:val="00CD2646"/>
    <w:rsid w:val="00CD2A38"/>
    <w:rsid w:val="00CD2A61"/>
    <w:rsid w:val="00CD360E"/>
    <w:rsid w:val="00CD390C"/>
    <w:rsid w:val="00CD3B6D"/>
    <w:rsid w:val="00CD42BD"/>
    <w:rsid w:val="00CD443A"/>
    <w:rsid w:val="00CD4CC2"/>
    <w:rsid w:val="00CD50F7"/>
    <w:rsid w:val="00CD53B2"/>
    <w:rsid w:val="00CD54F2"/>
    <w:rsid w:val="00CD5F14"/>
    <w:rsid w:val="00CD6A80"/>
    <w:rsid w:val="00CD7321"/>
    <w:rsid w:val="00CD7523"/>
    <w:rsid w:val="00CD775B"/>
    <w:rsid w:val="00CD780A"/>
    <w:rsid w:val="00CD7820"/>
    <w:rsid w:val="00CD788E"/>
    <w:rsid w:val="00CD7D72"/>
    <w:rsid w:val="00CE0882"/>
    <w:rsid w:val="00CE09F7"/>
    <w:rsid w:val="00CE1007"/>
    <w:rsid w:val="00CE1613"/>
    <w:rsid w:val="00CE1992"/>
    <w:rsid w:val="00CE1AED"/>
    <w:rsid w:val="00CE20B0"/>
    <w:rsid w:val="00CE228F"/>
    <w:rsid w:val="00CE2C5C"/>
    <w:rsid w:val="00CE3135"/>
    <w:rsid w:val="00CE3A47"/>
    <w:rsid w:val="00CE3DF4"/>
    <w:rsid w:val="00CE42DD"/>
    <w:rsid w:val="00CE44FC"/>
    <w:rsid w:val="00CE4558"/>
    <w:rsid w:val="00CE46C8"/>
    <w:rsid w:val="00CE4E76"/>
    <w:rsid w:val="00CE527A"/>
    <w:rsid w:val="00CE5608"/>
    <w:rsid w:val="00CE59C1"/>
    <w:rsid w:val="00CE602A"/>
    <w:rsid w:val="00CE62EA"/>
    <w:rsid w:val="00CE6F75"/>
    <w:rsid w:val="00CE726F"/>
    <w:rsid w:val="00CE7756"/>
    <w:rsid w:val="00CE7C50"/>
    <w:rsid w:val="00CE7CEB"/>
    <w:rsid w:val="00CF0CE2"/>
    <w:rsid w:val="00CF0D9B"/>
    <w:rsid w:val="00CF0E30"/>
    <w:rsid w:val="00CF15D2"/>
    <w:rsid w:val="00CF2979"/>
    <w:rsid w:val="00CF2BD2"/>
    <w:rsid w:val="00CF2D85"/>
    <w:rsid w:val="00CF2DC3"/>
    <w:rsid w:val="00CF325A"/>
    <w:rsid w:val="00CF3364"/>
    <w:rsid w:val="00CF3B68"/>
    <w:rsid w:val="00CF3F49"/>
    <w:rsid w:val="00CF4128"/>
    <w:rsid w:val="00CF4A44"/>
    <w:rsid w:val="00CF5006"/>
    <w:rsid w:val="00CF52B5"/>
    <w:rsid w:val="00CF5314"/>
    <w:rsid w:val="00CF634C"/>
    <w:rsid w:val="00CF678B"/>
    <w:rsid w:val="00CF6C41"/>
    <w:rsid w:val="00CF6D4A"/>
    <w:rsid w:val="00CF73AF"/>
    <w:rsid w:val="00CF7EBC"/>
    <w:rsid w:val="00D000E4"/>
    <w:rsid w:val="00D001D0"/>
    <w:rsid w:val="00D0033E"/>
    <w:rsid w:val="00D009A9"/>
    <w:rsid w:val="00D00FF3"/>
    <w:rsid w:val="00D0149F"/>
    <w:rsid w:val="00D024DD"/>
    <w:rsid w:val="00D0263F"/>
    <w:rsid w:val="00D02ADC"/>
    <w:rsid w:val="00D02C25"/>
    <w:rsid w:val="00D02FDE"/>
    <w:rsid w:val="00D034C1"/>
    <w:rsid w:val="00D0385C"/>
    <w:rsid w:val="00D03C4E"/>
    <w:rsid w:val="00D03DCE"/>
    <w:rsid w:val="00D041C9"/>
    <w:rsid w:val="00D043DE"/>
    <w:rsid w:val="00D0441B"/>
    <w:rsid w:val="00D045D5"/>
    <w:rsid w:val="00D04701"/>
    <w:rsid w:val="00D049A2"/>
    <w:rsid w:val="00D04E67"/>
    <w:rsid w:val="00D0532C"/>
    <w:rsid w:val="00D0534A"/>
    <w:rsid w:val="00D05412"/>
    <w:rsid w:val="00D05931"/>
    <w:rsid w:val="00D0628D"/>
    <w:rsid w:val="00D06DAA"/>
    <w:rsid w:val="00D06E2D"/>
    <w:rsid w:val="00D06F13"/>
    <w:rsid w:val="00D072D1"/>
    <w:rsid w:val="00D10117"/>
    <w:rsid w:val="00D101D8"/>
    <w:rsid w:val="00D10591"/>
    <w:rsid w:val="00D105BC"/>
    <w:rsid w:val="00D1084E"/>
    <w:rsid w:val="00D1181C"/>
    <w:rsid w:val="00D1184B"/>
    <w:rsid w:val="00D11F71"/>
    <w:rsid w:val="00D125F1"/>
    <w:rsid w:val="00D1264E"/>
    <w:rsid w:val="00D13015"/>
    <w:rsid w:val="00D1369C"/>
    <w:rsid w:val="00D13764"/>
    <w:rsid w:val="00D145ED"/>
    <w:rsid w:val="00D164C3"/>
    <w:rsid w:val="00D1698D"/>
    <w:rsid w:val="00D1745B"/>
    <w:rsid w:val="00D17536"/>
    <w:rsid w:val="00D20358"/>
    <w:rsid w:val="00D203F3"/>
    <w:rsid w:val="00D20CE2"/>
    <w:rsid w:val="00D20EED"/>
    <w:rsid w:val="00D21323"/>
    <w:rsid w:val="00D214D6"/>
    <w:rsid w:val="00D218F6"/>
    <w:rsid w:val="00D2209B"/>
    <w:rsid w:val="00D22247"/>
    <w:rsid w:val="00D23C4D"/>
    <w:rsid w:val="00D24161"/>
    <w:rsid w:val="00D24537"/>
    <w:rsid w:val="00D24D36"/>
    <w:rsid w:val="00D2563D"/>
    <w:rsid w:val="00D25CC0"/>
    <w:rsid w:val="00D261C9"/>
    <w:rsid w:val="00D26634"/>
    <w:rsid w:val="00D266BF"/>
    <w:rsid w:val="00D269D9"/>
    <w:rsid w:val="00D269E9"/>
    <w:rsid w:val="00D26CBB"/>
    <w:rsid w:val="00D273E0"/>
    <w:rsid w:val="00D274A1"/>
    <w:rsid w:val="00D27E95"/>
    <w:rsid w:val="00D30260"/>
    <w:rsid w:val="00D3049B"/>
    <w:rsid w:val="00D30705"/>
    <w:rsid w:val="00D309F8"/>
    <w:rsid w:val="00D31476"/>
    <w:rsid w:val="00D3154B"/>
    <w:rsid w:val="00D31555"/>
    <w:rsid w:val="00D315F8"/>
    <w:rsid w:val="00D31A05"/>
    <w:rsid w:val="00D31CCA"/>
    <w:rsid w:val="00D31EE1"/>
    <w:rsid w:val="00D31FA6"/>
    <w:rsid w:val="00D32168"/>
    <w:rsid w:val="00D3248D"/>
    <w:rsid w:val="00D33109"/>
    <w:rsid w:val="00D3507C"/>
    <w:rsid w:val="00D35966"/>
    <w:rsid w:val="00D35A4A"/>
    <w:rsid w:val="00D35ADF"/>
    <w:rsid w:val="00D35B08"/>
    <w:rsid w:val="00D35CA7"/>
    <w:rsid w:val="00D36720"/>
    <w:rsid w:val="00D367D7"/>
    <w:rsid w:val="00D3746F"/>
    <w:rsid w:val="00D401FE"/>
    <w:rsid w:val="00D4059F"/>
    <w:rsid w:val="00D40D13"/>
    <w:rsid w:val="00D42F79"/>
    <w:rsid w:val="00D435F9"/>
    <w:rsid w:val="00D43D90"/>
    <w:rsid w:val="00D44089"/>
    <w:rsid w:val="00D442D0"/>
    <w:rsid w:val="00D44398"/>
    <w:rsid w:val="00D4450A"/>
    <w:rsid w:val="00D45192"/>
    <w:rsid w:val="00D466BD"/>
    <w:rsid w:val="00D468D5"/>
    <w:rsid w:val="00D46D10"/>
    <w:rsid w:val="00D4713E"/>
    <w:rsid w:val="00D478E7"/>
    <w:rsid w:val="00D47D65"/>
    <w:rsid w:val="00D50FFF"/>
    <w:rsid w:val="00D51143"/>
    <w:rsid w:val="00D515B0"/>
    <w:rsid w:val="00D51DE7"/>
    <w:rsid w:val="00D5274A"/>
    <w:rsid w:val="00D52970"/>
    <w:rsid w:val="00D52EF3"/>
    <w:rsid w:val="00D534B9"/>
    <w:rsid w:val="00D535B1"/>
    <w:rsid w:val="00D536B8"/>
    <w:rsid w:val="00D53845"/>
    <w:rsid w:val="00D53CAF"/>
    <w:rsid w:val="00D53E9D"/>
    <w:rsid w:val="00D5419E"/>
    <w:rsid w:val="00D541FC"/>
    <w:rsid w:val="00D543BE"/>
    <w:rsid w:val="00D543CF"/>
    <w:rsid w:val="00D54EE3"/>
    <w:rsid w:val="00D5500A"/>
    <w:rsid w:val="00D55982"/>
    <w:rsid w:val="00D55DA3"/>
    <w:rsid w:val="00D5658B"/>
    <w:rsid w:val="00D56B11"/>
    <w:rsid w:val="00D56DBA"/>
    <w:rsid w:val="00D5750B"/>
    <w:rsid w:val="00D57DCD"/>
    <w:rsid w:val="00D57E57"/>
    <w:rsid w:val="00D60620"/>
    <w:rsid w:val="00D607A5"/>
    <w:rsid w:val="00D60BC9"/>
    <w:rsid w:val="00D60D4F"/>
    <w:rsid w:val="00D61291"/>
    <w:rsid w:val="00D616B1"/>
    <w:rsid w:val="00D6188F"/>
    <w:rsid w:val="00D619F3"/>
    <w:rsid w:val="00D61D95"/>
    <w:rsid w:val="00D61E1A"/>
    <w:rsid w:val="00D61EE7"/>
    <w:rsid w:val="00D62487"/>
    <w:rsid w:val="00D62965"/>
    <w:rsid w:val="00D62BEC"/>
    <w:rsid w:val="00D6361F"/>
    <w:rsid w:val="00D63A53"/>
    <w:rsid w:val="00D6430D"/>
    <w:rsid w:val="00D64794"/>
    <w:rsid w:val="00D64AAE"/>
    <w:rsid w:val="00D64B49"/>
    <w:rsid w:val="00D651E8"/>
    <w:rsid w:val="00D65379"/>
    <w:rsid w:val="00D65715"/>
    <w:rsid w:val="00D66215"/>
    <w:rsid w:val="00D66FAC"/>
    <w:rsid w:val="00D670B2"/>
    <w:rsid w:val="00D6780A"/>
    <w:rsid w:val="00D702B0"/>
    <w:rsid w:val="00D70434"/>
    <w:rsid w:val="00D70A61"/>
    <w:rsid w:val="00D70C51"/>
    <w:rsid w:val="00D71706"/>
    <w:rsid w:val="00D71AC0"/>
    <w:rsid w:val="00D71B42"/>
    <w:rsid w:val="00D71BC3"/>
    <w:rsid w:val="00D71FDB"/>
    <w:rsid w:val="00D72150"/>
    <w:rsid w:val="00D72169"/>
    <w:rsid w:val="00D72A30"/>
    <w:rsid w:val="00D72C9E"/>
    <w:rsid w:val="00D72CDE"/>
    <w:rsid w:val="00D72E77"/>
    <w:rsid w:val="00D73048"/>
    <w:rsid w:val="00D732F6"/>
    <w:rsid w:val="00D734C9"/>
    <w:rsid w:val="00D7375B"/>
    <w:rsid w:val="00D73918"/>
    <w:rsid w:val="00D73A95"/>
    <w:rsid w:val="00D73D68"/>
    <w:rsid w:val="00D73DC9"/>
    <w:rsid w:val="00D743D1"/>
    <w:rsid w:val="00D74B08"/>
    <w:rsid w:val="00D751DD"/>
    <w:rsid w:val="00D754D8"/>
    <w:rsid w:val="00D75B46"/>
    <w:rsid w:val="00D75B92"/>
    <w:rsid w:val="00D76324"/>
    <w:rsid w:val="00D76F9D"/>
    <w:rsid w:val="00D77795"/>
    <w:rsid w:val="00D77C66"/>
    <w:rsid w:val="00D77C86"/>
    <w:rsid w:val="00D77FE0"/>
    <w:rsid w:val="00D80591"/>
    <w:rsid w:val="00D809E9"/>
    <w:rsid w:val="00D80FB4"/>
    <w:rsid w:val="00D81106"/>
    <w:rsid w:val="00D81CA5"/>
    <w:rsid w:val="00D82318"/>
    <w:rsid w:val="00D82DA7"/>
    <w:rsid w:val="00D83108"/>
    <w:rsid w:val="00D8390D"/>
    <w:rsid w:val="00D83B40"/>
    <w:rsid w:val="00D84427"/>
    <w:rsid w:val="00D8454F"/>
    <w:rsid w:val="00D84963"/>
    <w:rsid w:val="00D84A40"/>
    <w:rsid w:val="00D84DDD"/>
    <w:rsid w:val="00D852B1"/>
    <w:rsid w:val="00D85388"/>
    <w:rsid w:val="00D85485"/>
    <w:rsid w:val="00D85953"/>
    <w:rsid w:val="00D85C23"/>
    <w:rsid w:val="00D86288"/>
    <w:rsid w:val="00D86478"/>
    <w:rsid w:val="00D8679D"/>
    <w:rsid w:val="00D867F5"/>
    <w:rsid w:val="00D86B97"/>
    <w:rsid w:val="00D87557"/>
    <w:rsid w:val="00D87958"/>
    <w:rsid w:val="00D901EC"/>
    <w:rsid w:val="00D90312"/>
    <w:rsid w:val="00D9050B"/>
    <w:rsid w:val="00D90B7B"/>
    <w:rsid w:val="00D918CC"/>
    <w:rsid w:val="00D919E5"/>
    <w:rsid w:val="00D91C80"/>
    <w:rsid w:val="00D91EDE"/>
    <w:rsid w:val="00D91F24"/>
    <w:rsid w:val="00D9222E"/>
    <w:rsid w:val="00D92320"/>
    <w:rsid w:val="00D9260B"/>
    <w:rsid w:val="00D93520"/>
    <w:rsid w:val="00D937A2"/>
    <w:rsid w:val="00D93856"/>
    <w:rsid w:val="00D93BE5"/>
    <w:rsid w:val="00D94E1E"/>
    <w:rsid w:val="00D94FD6"/>
    <w:rsid w:val="00D95006"/>
    <w:rsid w:val="00D9577B"/>
    <w:rsid w:val="00D96712"/>
    <w:rsid w:val="00D968EA"/>
    <w:rsid w:val="00D96EB8"/>
    <w:rsid w:val="00D974FD"/>
    <w:rsid w:val="00D97968"/>
    <w:rsid w:val="00D97BAF"/>
    <w:rsid w:val="00DA04D3"/>
    <w:rsid w:val="00DA08FF"/>
    <w:rsid w:val="00DA0BB3"/>
    <w:rsid w:val="00DA0E55"/>
    <w:rsid w:val="00DA13BE"/>
    <w:rsid w:val="00DA1972"/>
    <w:rsid w:val="00DA211E"/>
    <w:rsid w:val="00DA3BD5"/>
    <w:rsid w:val="00DA3E8D"/>
    <w:rsid w:val="00DA4E98"/>
    <w:rsid w:val="00DA52FD"/>
    <w:rsid w:val="00DA58B8"/>
    <w:rsid w:val="00DA5929"/>
    <w:rsid w:val="00DA5DCE"/>
    <w:rsid w:val="00DA6415"/>
    <w:rsid w:val="00DA67BB"/>
    <w:rsid w:val="00DA67D6"/>
    <w:rsid w:val="00DA73FE"/>
    <w:rsid w:val="00DA759A"/>
    <w:rsid w:val="00DA7685"/>
    <w:rsid w:val="00DA79ED"/>
    <w:rsid w:val="00DA7A18"/>
    <w:rsid w:val="00DB0444"/>
    <w:rsid w:val="00DB07C8"/>
    <w:rsid w:val="00DB0D4E"/>
    <w:rsid w:val="00DB11F5"/>
    <w:rsid w:val="00DB174D"/>
    <w:rsid w:val="00DB3CB2"/>
    <w:rsid w:val="00DB465B"/>
    <w:rsid w:val="00DB48B5"/>
    <w:rsid w:val="00DB4A2A"/>
    <w:rsid w:val="00DB4A8E"/>
    <w:rsid w:val="00DB53E9"/>
    <w:rsid w:val="00DB5939"/>
    <w:rsid w:val="00DB5CD0"/>
    <w:rsid w:val="00DB5CEA"/>
    <w:rsid w:val="00DB5FE4"/>
    <w:rsid w:val="00DB60E7"/>
    <w:rsid w:val="00DB69C1"/>
    <w:rsid w:val="00DB74D8"/>
    <w:rsid w:val="00DB782E"/>
    <w:rsid w:val="00DB7EE0"/>
    <w:rsid w:val="00DC022C"/>
    <w:rsid w:val="00DC0344"/>
    <w:rsid w:val="00DC0650"/>
    <w:rsid w:val="00DC0829"/>
    <w:rsid w:val="00DC0C13"/>
    <w:rsid w:val="00DC0DCB"/>
    <w:rsid w:val="00DC1499"/>
    <w:rsid w:val="00DC1AC8"/>
    <w:rsid w:val="00DC1E8B"/>
    <w:rsid w:val="00DC21CE"/>
    <w:rsid w:val="00DC2565"/>
    <w:rsid w:val="00DC2954"/>
    <w:rsid w:val="00DC33FA"/>
    <w:rsid w:val="00DC4B9F"/>
    <w:rsid w:val="00DC571F"/>
    <w:rsid w:val="00DC6489"/>
    <w:rsid w:val="00DC7154"/>
    <w:rsid w:val="00DC7479"/>
    <w:rsid w:val="00DC756F"/>
    <w:rsid w:val="00DC7AFF"/>
    <w:rsid w:val="00DC7C32"/>
    <w:rsid w:val="00DC7F14"/>
    <w:rsid w:val="00DC7F1C"/>
    <w:rsid w:val="00DC7F23"/>
    <w:rsid w:val="00DC7F39"/>
    <w:rsid w:val="00DD00E4"/>
    <w:rsid w:val="00DD06DE"/>
    <w:rsid w:val="00DD12F4"/>
    <w:rsid w:val="00DD1B3D"/>
    <w:rsid w:val="00DD2B3B"/>
    <w:rsid w:val="00DD3031"/>
    <w:rsid w:val="00DD3079"/>
    <w:rsid w:val="00DD3C31"/>
    <w:rsid w:val="00DD3F4E"/>
    <w:rsid w:val="00DD40C1"/>
    <w:rsid w:val="00DD48C4"/>
    <w:rsid w:val="00DD509B"/>
    <w:rsid w:val="00DD5CF3"/>
    <w:rsid w:val="00DD6898"/>
    <w:rsid w:val="00DD7134"/>
    <w:rsid w:val="00DD7181"/>
    <w:rsid w:val="00DD7546"/>
    <w:rsid w:val="00DD7A98"/>
    <w:rsid w:val="00DD7D11"/>
    <w:rsid w:val="00DD7E2F"/>
    <w:rsid w:val="00DE01EC"/>
    <w:rsid w:val="00DE06D9"/>
    <w:rsid w:val="00DE1371"/>
    <w:rsid w:val="00DE142B"/>
    <w:rsid w:val="00DE1773"/>
    <w:rsid w:val="00DE1F7D"/>
    <w:rsid w:val="00DE26D2"/>
    <w:rsid w:val="00DE29AA"/>
    <w:rsid w:val="00DE2DA8"/>
    <w:rsid w:val="00DE2E90"/>
    <w:rsid w:val="00DE38B4"/>
    <w:rsid w:val="00DE3B13"/>
    <w:rsid w:val="00DE3C9D"/>
    <w:rsid w:val="00DE50DA"/>
    <w:rsid w:val="00DE51FB"/>
    <w:rsid w:val="00DE5A5C"/>
    <w:rsid w:val="00DE5B15"/>
    <w:rsid w:val="00DE5DB8"/>
    <w:rsid w:val="00DE5E40"/>
    <w:rsid w:val="00DE5F5E"/>
    <w:rsid w:val="00DE6144"/>
    <w:rsid w:val="00DE6F82"/>
    <w:rsid w:val="00DE71C3"/>
    <w:rsid w:val="00DE7376"/>
    <w:rsid w:val="00DE76CA"/>
    <w:rsid w:val="00DE7D9C"/>
    <w:rsid w:val="00DE7DAF"/>
    <w:rsid w:val="00DE7EB9"/>
    <w:rsid w:val="00DF0577"/>
    <w:rsid w:val="00DF0596"/>
    <w:rsid w:val="00DF0675"/>
    <w:rsid w:val="00DF0944"/>
    <w:rsid w:val="00DF0D18"/>
    <w:rsid w:val="00DF106C"/>
    <w:rsid w:val="00DF12C1"/>
    <w:rsid w:val="00DF1327"/>
    <w:rsid w:val="00DF13C0"/>
    <w:rsid w:val="00DF2202"/>
    <w:rsid w:val="00DF237E"/>
    <w:rsid w:val="00DF28CA"/>
    <w:rsid w:val="00DF2FCF"/>
    <w:rsid w:val="00DF347D"/>
    <w:rsid w:val="00DF3499"/>
    <w:rsid w:val="00DF390A"/>
    <w:rsid w:val="00DF427B"/>
    <w:rsid w:val="00DF53A5"/>
    <w:rsid w:val="00DF5FE4"/>
    <w:rsid w:val="00DF6210"/>
    <w:rsid w:val="00DF671B"/>
    <w:rsid w:val="00DF69E6"/>
    <w:rsid w:val="00DF6AAE"/>
    <w:rsid w:val="00DF6BCE"/>
    <w:rsid w:val="00DF6ED1"/>
    <w:rsid w:val="00DF6FE8"/>
    <w:rsid w:val="00DF7040"/>
    <w:rsid w:val="00DF72AF"/>
    <w:rsid w:val="00DF72DB"/>
    <w:rsid w:val="00DF744C"/>
    <w:rsid w:val="00DF79BA"/>
    <w:rsid w:val="00E00354"/>
    <w:rsid w:val="00E003BD"/>
    <w:rsid w:val="00E0202F"/>
    <w:rsid w:val="00E023BB"/>
    <w:rsid w:val="00E023DC"/>
    <w:rsid w:val="00E0254B"/>
    <w:rsid w:val="00E025CF"/>
    <w:rsid w:val="00E0287C"/>
    <w:rsid w:val="00E02CF9"/>
    <w:rsid w:val="00E02D65"/>
    <w:rsid w:val="00E0358D"/>
    <w:rsid w:val="00E03B97"/>
    <w:rsid w:val="00E03FCD"/>
    <w:rsid w:val="00E0403D"/>
    <w:rsid w:val="00E0447C"/>
    <w:rsid w:val="00E04896"/>
    <w:rsid w:val="00E04BDC"/>
    <w:rsid w:val="00E04C46"/>
    <w:rsid w:val="00E05D38"/>
    <w:rsid w:val="00E065B7"/>
    <w:rsid w:val="00E072CB"/>
    <w:rsid w:val="00E076B0"/>
    <w:rsid w:val="00E07D1A"/>
    <w:rsid w:val="00E11332"/>
    <w:rsid w:val="00E11D3C"/>
    <w:rsid w:val="00E11DF9"/>
    <w:rsid w:val="00E1222D"/>
    <w:rsid w:val="00E1268C"/>
    <w:rsid w:val="00E13221"/>
    <w:rsid w:val="00E133E0"/>
    <w:rsid w:val="00E134E5"/>
    <w:rsid w:val="00E13EB6"/>
    <w:rsid w:val="00E143C4"/>
    <w:rsid w:val="00E1448F"/>
    <w:rsid w:val="00E14583"/>
    <w:rsid w:val="00E14C14"/>
    <w:rsid w:val="00E14CC8"/>
    <w:rsid w:val="00E14FA0"/>
    <w:rsid w:val="00E153BB"/>
    <w:rsid w:val="00E16199"/>
    <w:rsid w:val="00E16371"/>
    <w:rsid w:val="00E16800"/>
    <w:rsid w:val="00E16E84"/>
    <w:rsid w:val="00E175EC"/>
    <w:rsid w:val="00E17995"/>
    <w:rsid w:val="00E179F2"/>
    <w:rsid w:val="00E17E4B"/>
    <w:rsid w:val="00E208DF"/>
    <w:rsid w:val="00E20AF0"/>
    <w:rsid w:val="00E2123C"/>
    <w:rsid w:val="00E212CD"/>
    <w:rsid w:val="00E21556"/>
    <w:rsid w:val="00E21BA0"/>
    <w:rsid w:val="00E21C54"/>
    <w:rsid w:val="00E21F95"/>
    <w:rsid w:val="00E2212C"/>
    <w:rsid w:val="00E22408"/>
    <w:rsid w:val="00E225B4"/>
    <w:rsid w:val="00E23926"/>
    <w:rsid w:val="00E24E92"/>
    <w:rsid w:val="00E26626"/>
    <w:rsid w:val="00E26780"/>
    <w:rsid w:val="00E270CA"/>
    <w:rsid w:val="00E309E7"/>
    <w:rsid w:val="00E31394"/>
    <w:rsid w:val="00E31609"/>
    <w:rsid w:val="00E319CC"/>
    <w:rsid w:val="00E31F16"/>
    <w:rsid w:val="00E32138"/>
    <w:rsid w:val="00E32B33"/>
    <w:rsid w:val="00E32D0E"/>
    <w:rsid w:val="00E332CC"/>
    <w:rsid w:val="00E33440"/>
    <w:rsid w:val="00E336CE"/>
    <w:rsid w:val="00E342A5"/>
    <w:rsid w:val="00E345F7"/>
    <w:rsid w:val="00E346C8"/>
    <w:rsid w:val="00E3480A"/>
    <w:rsid w:val="00E35C48"/>
    <w:rsid w:val="00E35E5B"/>
    <w:rsid w:val="00E35F17"/>
    <w:rsid w:val="00E366A7"/>
    <w:rsid w:val="00E376FC"/>
    <w:rsid w:val="00E37C29"/>
    <w:rsid w:val="00E37F62"/>
    <w:rsid w:val="00E37FC6"/>
    <w:rsid w:val="00E40260"/>
    <w:rsid w:val="00E40381"/>
    <w:rsid w:val="00E40C75"/>
    <w:rsid w:val="00E40DB1"/>
    <w:rsid w:val="00E411D9"/>
    <w:rsid w:val="00E41714"/>
    <w:rsid w:val="00E41B4B"/>
    <w:rsid w:val="00E41F97"/>
    <w:rsid w:val="00E423D1"/>
    <w:rsid w:val="00E424A8"/>
    <w:rsid w:val="00E4293C"/>
    <w:rsid w:val="00E429C7"/>
    <w:rsid w:val="00E42EF6"/>
    <w:rsid w:val="00E43A52"/>
    <w:rsid w:val="00E43B8D"/>
    <w:rsid w:val="00E44401"/>
    <w:rsid w:val="00E4445B"/>
    <w:rsid w:val="00E44731"/>
    <w:rsid w:val="00E44A30"/>
    <w:rsid w:val="00E44AEC"/>
    <w:rsid w:val="00E45249"/>
    <w:rsid w:val="00E4534E"/>
    <w:rsid w:val="00E45AC4"/>
    <w:rsid w:val="00E45D94"/>
    <w:rsid w:val="00E45D9A"/>
    <w:rsid w:val="00E46248"/>
    <w:rsid w:val="00E462EA"/>
    <w:rsid w:val="00E46484"/>
    <w:rsid w:val="00E464D3"/>
    <w:rsid w:val="00E469C4"/>
    <w:rsid w:val="00E46B11"/>
    <w:rsid w:val="00E46D74"/>
    <w:rsid w:val="00E4702B"/>
    <w:rsid w:val="00E479A3"/>
    <w:rsid w:val="00E47EDF"/>
    <w:rsid w:val="00E505A6"/>
    <w:rsid w:val="00E50C9B"/>
    <w:rsid w:val="00E5138A"/>
    <w:rsid w:val="00E51BE0"/>
    <w:rsid w:val="00E52164"/>
    <w:rsid w:val="00E5222A"/>
    <w:rsid w:val="00E5244B"/>
    <w:rsid w:val="00E524F8"/>
    <w:rsid w:val="00E526A9"/>
    <w:rsid w:val="00E52844"/>
    <w:rsid w:val="00E52979"/>
    <w:rsid w:val="00E52A94"/>
    <w:rsid w:val="00E52E07"/>
    <w:rsid w:val="00E52F32"/>
    <w:rsid w:val="00E532CA"/>
    <w:rsid w:val="00E538EE"/>
    <w:rsid w:val="00E539C0"/>
    <w:rsid w:val="00E53D13"/>
    <w:rsid w:val="00E5407B"/>
    <w:rsid w:val="00E5432F"/>
    <w:rsid w:val="00E54789"/>
    <w:rsid w:val="00E54881"/>
    <w:rsid w:val="00E54A55"/>
    <w:rsid w:val="00E54A92"/>
    <w:rsid w:val="00E54D85"/>
    <w:rsid w:val="00E54DF9"/>
    <w:rsid w:val="00E54E21"/>
    <w:rsid w:val="00E54F32"/>
    <w:rsid w:val="00E55022"/>
    <w:rsid w:val="00E55508"/>
    <w:rsid w:val="00E556B8"/>
    <w:rsid w:val="00E55A38"/>
    <w:rsid w:val="00E55F8E"/>
    <w:rsid w:val="00E560CC"/>
    <w:rsid w:val="00E5665B"/>
    <w:rsid w:val="00E5670E"/>
    <w:rsid w:val="00E579F4"/>
    <w:rsid w:val="00E57F7F"/>
    <w:rsid w:val="00E60AC6"/>
    <w:rsid w:val="00E60EA3"/>
    <w:rsid w:val="00E60F5B"/>
    <w:rsid w:val="00E6275F"/>
    <w:rsid w:val="00E62A36"/>
    <w:rsid w:val="00E62C59"/>
    <w:rsid w:val="00E63158"/>
    <w:rsid w:val="00E633D1"/>
    <w:rsid w:val="00E63A62"/>
    <w:rsid w:val="00E644B0"/>
    <w:rsid w:val="00E6514A"/>
    <w:rsid w:val="00E652E6"/>
    <w:rsid w:val="00E65AE8"/>
    <w:rsid w:val="00E65C6F"/>
    <w:rsid w:val="00E65E98"/>
    <w:rsid w:val="00E6621A"/>
    <w:rsid w:val="00E66C15"/>
    <w:rsid w:val="00E673B9"/>
    <w:rsid w:val="00E674AA"/>
    <w:rsid w:val="00E6756C"/>
    <w:rsid w:val="00E67F4D"/>
    <w:rsid w:val="00E67FA1"/>
    <w:rsid w:val="00E70003"/>
    <w:rsid w:val="00E700E0"/>
    <w:rsid w:val="00E702C1"/>
    <w:rsid w:val="00E7078A"/>
    <w:rsid w:val="00E7081F"/>
    <w:rsid w:val="00E710F1"/>
    <w:rsid w:val="00E712E2"/>
    <w:rsid w:val="00E71ACB"/>
    <w:rsid w:val="00E71D37"/>
    <w:rsid w:val="00E71F97"/>
    <w:rsid w:val="00E72767"/>
    <w:rsid w:val="00E7302F"/>
    <w:rsid w:val="00E73286"/>
    <w:rsid w:val="00E73741"/>
    <w:rsid w:val="00E73C77"/>
    <w:rsid w:val="00E74051"/>
    <w:rsid w:val="00E7450F"/>
    <w:rsid w:val="00E757E6"/>
    <w:rsid w:val="00E7641C"/>
    <w:rsid w:val="00E76A37"/>
    <w:rsid w:val="00E778FA"/>
    <w:rsid w:val="00E77976"/>
    <w:rsid w:val="00E80A49"/>
    <w:rsid w:val="00E81465"/>
    <w:rsid w:val="00E81855"/>
    <w:rsid w:val="00E81E2B"/>
    <w:rsid w:val="00E82290"/>
    <w:rsid w:val="00E82414"/>
    <w:rsid w:val="00E82507"/>
    <w:rsid w:val="00E8259E"/>
    <w:rsid w:val="00E82F97"/>
    <w:rsid w:val="00E8303A"/>
    <w:rsid w:val="00E83284"/>
    <w:rsid w:val="00E834D3"/>
    <w:rsid w:val="00E83C89"/>
    <w:rsid w:val="00E83CCC"/>
    <w:rsid w:val="00E85159"/>
    <w:rsid w:val="00E85326"/>
    <w:rsid w:val="00E85745"/>
    <w:rsid w:val="00E858CB"/>
    <w:rsid w:val="00E864D6"/>
    <w:rsid w:val="00E867AC"/>
    <w:rsid w:val="00E86B82"/>
    <w:rsid w:val="00E87286"/>
    <w:rsid w:val="00E87893"/>
    <w:rsid w:val="00E90001"/>
    <w:rsid w:val="00E9008B"/>
    <w:rsid w:val="00E902F0"/>
    <w:rsid w:val="00E90765"/>
    <w:rsid w:val="00E90C76"/>
    <w:rsid w:val="00E911DE"/>
    <w:rsid w:val="00E913DE"/>
    <w:rsid w:val="00E91407"/>
    <w:rsid w:val="00E9144D"/>
    <w:rsid w:val="00E918BC"/>
    <w:rsid w:val="00E919A9"/>
    <w:rsid w:val="00E927B2"/>
    <w:rsid w:val="00E92AB6"/>
    <w:rsid w:val="00E92B96"/>
    <w:rsid w:val="00E9328E"/>
    <w:rsid w:val="00E933ED"/>
    <w:rsid w:val="00E93806"/>
    <w:rsid w:val="00E94007"/>
    <w:rsid w:val="00E94C9B"/>
    <w:rsid w:val="00E953A4"/>
    <w:rsid w:val="00E955DE"/>
    <w:rsid w:val="00E95AA6"/>
    <w:rsid w:val="00E95B18"/>
    <w:rsid w:val="00E95CF9"/>
    <w:rsid w:val="00E96C6C"/>
    <w:rsid w:val="00E96D69"/>
    <w:rsid w:val="00E96F72"/>
    <w:rsid w:val="00EA0359"/>
    <w:rsid w:val="00EA04CB"/>
    <w:rsid w:val="00EA08CD"/>
    <w:rsid w:val="00EA1019"/>
    <w:rsid w:val="00EA11ED"/>
    <w:rsid w:val="00EA12BE"/>
    <w:rsid w:val="00EA1975"/>
    <w:rsid w:val="00EA2133"/>
    <w:rsid w:val="00EA2B60"/>
    <w:rsid w:val="00EA2CA2"/>
    <w:rsid w:val="00EA2EAF"/>
    <w:rsid w:val="00EA3C6F"/>
    <w:rsid w:val="00EA3E59"/>
    <w:rsid w:val="00EA3E83"/>
    <w:rsid w:val="00EA40C9"/>
    <w:rsid w:val="00EA410A"/>
    <w:rsid w:val="00EA41E1"/>
    <w:rsid w:val="00EA4B16"/>
    <w:rsid w:val="00EA4F79"/>
    <w:rsid w:val="00EA4FA7"/>
    <w:rsid w:val="00EA579F"/>
    <w:rsid w:val="00EA5C24"/>
    <w:rsid w:val="00EA5FB3"/>
    <w:rsid w:val="00EA6005"/>
    <w:rsid w:val="00EA70AA"/>
    <w:rsid w:val="00EA71D7"/>
    <w:rsid w:val="00EA7941"/>
    <w:rsid w:val="00EA7A1E"/>
    <w:rsid w:val="00EA7F3C"/>
    <w:rsid w:val="00EB057D"/>
    <w:rsid w:val="00EB05B9"/>
    <w:rsid w:val="00EB0D41"/>
    <w:rsid w:val="00EB1115"/>
    <w:rsid w:val="00EB1560"/>
    <w:rsid w:val="00EB19D5"/>
    <w:rsid w:val="00EB21C3"/>
    <w:rsid w:val="00EB2274"/>
    <w:rsid w:val="00EB2B42"/>
    <w:rsid w:val="00EB2ED4"/>
    <w:rsid w:val="00EB339C"/>
    <w:rsid w:val="00EB34A7"/>
    <w:rsid w:val="00EB38C2"/>
    <w:rsid w:val="00EB3A46"/>
    <w:rsid w:val="00EB42C8"/>
    <w:rsid w:val="00EB42D1"/>
    <w:rsid w:val="00EB5205"/>
    <w:rsid w:val="00EB5F52"/>
    <w:rsid w:val="00EB611D"/>
    <w:rsid w:val="00EB615E"/>
    <w:rsid w:val="00EB6C36"/>
    <w:rsid w:val="00EB6C74"/>
    <w:rsid w:val="00EB6D99"/>
    <w:rsid w:val="00EB6FC5"/>
    <w:rsid w:val="00EB715B"/>
    <w:rsid w:val="00EB72D2"/>
    <w:rsid w:val="00EB75CE"/>
    <w:rsid w:val="00EB7979"/>
    <w:rsid w:val="00EB7B81"/>
    <w:rsid w:val="00EB7DAF"/>
    <w:rsid w:val="00EC01EA"/>
    <w:rsid w:val="00EC03B3"/>
    <w:rsid w:val="00EC0442"/>
    <w:rsid w:val="00EC0C05"/>
    <w:rsid w:val="00EC0CA6"/>
    <w:rsid w:val="00EC0F55"/>
    <w:rsid w:val="00EC16E3"/>
    <w:rsid w:val="00EC1C17"/>
    <w:rsid w:val="00EC24F6"/>
    <w:rsid w:val="00EC296B"/>
    <w:rsid w:val="00EC2E02"/>
    <w:rsid w:val="00EC34B0"/>
    <w:rsid w:val="00EC427E"/>
    <w:rsid w:val="00EC44AB"/>
    <w:rsid w:val="00EC44DA"/>
    <w:rsid w:val="00EC480E"/>
    <w:rsid w:val="00EC4C19"/>
    <w:rsid w:val="00EC503A"/>
    <w:rsid w:val="00EC5073"/>
    <w:rsid w:val="00EC58A2"/>
    <w:rsid w:val="00EC5B51"/>
    <w:rsid w:val="00EC644F"/>
    <w:rsid w:val="00EC66A0"/>
    <w:rsid w:val="00EC68C3"/>
    <w:rsid w:val="00EC6E7F"/>
    <w:rsid w:val="00EC74E3"/>
    <w:rsid w:val="00EC76AC"/>
    <w:rsid w:val="00ED03EC"/>
    <w:rsid w:val="00ED04B3"/>
    <w:rsid w:val="00ED197B"/>
    <w:rsid w:val="00ED1C0E"/>
    <w:rsid w:val="00ED1DBE"/>
    <w:rsid w:val="00ED1F5C"/>
    <w:rsid w:val="00ED279C"/>
    <w:rsid w:val="00ED28B8"/>
    <w:rsid w:val="00ED2994"/>
    <w:rsid w:val="00ED2E28"/>
    <w:rsid w:val="00ED3391"/>
    <w:rsid w:val="00ED352F"/>
    <w:rsid w:val="00ED45CF"/>
    <w:rsid w:val="00ED4841"/>
    <w:rsid w:val="00ED4F38"/>
    <w:rsid w:val="00ED50FF"/>
    <w:rsid w:val="00ED51DA"/>
    <w:rsid w:val="00ED5494"/>
    <w:rsid w:val="00ED5F62"/>
    <w:rsid w:val="00ED62BD"/>
    <w:rsid w:val="00ED6474"/>
    <w:rsid w:val="00ED6618"/>
    <w:rsid w:val="00ED676A"/>
    <w:rsid w:val="00ED6BB5"/>
    <w:rsid w:val="00ED72AC"/>
    <w:rsid w:val="00ED7999"/>
    <w:rsid w:val="00ED79BE"/>
    <w:rsid w:val="00ED7D04"/>
    <w:rsid w:val="00EE048A"/>
    <w:rsid w:val="00EE07A0"/>
    <w:rsid w:val="00EE08B3"/>
    <w:rsid w:val="00EE0DD0"/>
    <w:rsid w:val="00EE0E52"/>
    <w:rsid w:val="00EE2E8F"/>
    <w:rsid w:val="00EE3034"/>
    <w:rsid w:val="00EE3184"/>
    <w:rsid w:val="00EE319B"/>
    <w:rsid w:val="00EE3899"/>
    <w:rsid w:val="00EE3C75"/>
    <w:rsid w:val="00EE4768"/>
    <w:rsid w:val="00EE4C2E"/>
    <w:rsid w:val="00EE5701"/>
    <w:rsid w:val="00EE58D9"/>
    <w:rsid w:val="00EE5CCE"/>
    <w:rsid w:val="00EE5E31"/>
    <w:rsid w:val="00EE5EA6"/>
    <w:rsid w:val="00EE5F9E"/>
    <w:rsid w:val="00EE64BB"/>
    <w:rsid w:val="00EE6DDD"/>
    <w:rsid w:val="00EF01A4"/>
    <w:rsid w:val="00EF0543"/>
    <w:rsid w:val="00EF055F"/>
    <w:rsid w:val="00EF0695"/>
    <w:rsid w:val="00EF0827"/>
    <w:rsid w:val="00EF0831"/>
    <w:rsid w:val="00EF08FD"/>
    <w:rsid w:val="00EF11C3"/>
    <w:rsid w:val="00EF12AF"/>
    <w:rsid w:val="00EF12D5"/>
    <w:rsid w:val="00EF1344"/>
    <w:rsid w:val="00EF1564"/>
    <w:rsid w:val="00EF17DC"/>
    <w:rsid w:val="00EF188E"/>
    <w:rsid w:val="00EF1A60"/>
    <w:rsid w:val="00EF1B8E"/>
    <w:rsid w:val="00EF20E3"/>
    <w:rsid w:val="00EF210B"/>
    <w:rsid w:val="00EF2CF0"/>
    <w:rsid w:val="00EF3324"/>
    <w:rsid w:val="00EF3D76"/>
    <w:rsid w:val="00EF453B"/>
    <w:rsid w:val="00EF47F6"/>
    <w:rsid w:val="00EF4A01"/>
    <w:rsid w:val="00EF4DF1"/>
    <w:rsid w:val="00EF4F68"/>
    <w:rsid w:val="00EF502E"/>
    <w:rsid w:val="00EF5C7D"/>
    <w:rsid w:val="00EF62E3"/>
    <w:rsid w:val="00EF67F7"/>
    <w:rsid w:val="00EF71DB"/>
    <w:rsid w:val="00EF765A"/>
    <w:rsid w:val="00EF7EC9"/>
    <w:rsid w:val="00EF7FAA"/>
    <w:rsid w:val="00F00F7D"/>
    <w:rsid w:val="00F00FD2"/>
    <w:rsid w:val="00F01258"/>
    <w:rsid w:val="00F0146C"/>
    <w:rsid w:val="00F01932"/>
    <w:rsid w:val="00F01CBB"/>
    <w:rsid w:val="00F01EF8"/>
    <w:rsid w:val="00F0237B"/>
    <w:rsid w:val="00F02687"/>
    <w:rsid w:val="00F0293A"/>
    <w:rsid w:val="00F02A1D"/>
    <w:rsid w:val="00F02CBB"/>
    <w:rsid w:val="00F02E7C"/>
    <w:rsid w:val="00F02E9D"/>
    <w:rsid w:val="00F035A2"/>
    <w:rsid w:val="00F03CCC"/>
    <w:rsid w:val="00F0419D"/>
    <w:rsid w:val="00F041B1"/>
    <w:rsid w:val="00F042ED"/>
    <w:rsid w:val="00F04373"/>
    <w:rsid w:val="00F04563"/>
    <w:rsid w:val="00F0460C"/>
    <w:rsid w:val="00F04EDD"/>
    <w:rsid w:val="00F05AF5"/>
    <w:rsid w:val="00F05B4A"/>
    <w:rsid w:val="00F05EE5"/>
    <w:rsid w:val="00F073EF"/>
    <w:rsid w:val="00F0749B"/>
    <w:rsid w:val="00F07E08"/>
    <w:rsid w:val="00F07EF7"/>
    <w:rsid w:val="00F105AB"/>
    <w:rsid w:val="00F107C0"/>
    <w:rsid w:val="00F10FC6"/>
    <w:rsid w:val="00F1189C"/>
    <w:rsid w:val="00F118AA"/>
    <w:rsid w:val="00F11BCC"/>
    <w:rsid w:val="00F120B5"/>
    <w:rsid w:val="00F1225A"/>
    <w:rsid w:val="00F12416"/>
    <w:rsid w:val="00F12564"/>
    <w:rsid w:val="00F126C6"/>
    <w:rsid w:val="00F126DE"/>
    <w:rsid w:val="00F12B77"/>
    <w:rsid w:val="00F1343B"/>
    <w:rsid w:val="00F13E77"/>
    <w:rsid w:val="00F13F9C"/>
    <w:rsid w:val="00F14B78"/>
    <w:rsid w:val="00F14DF4"/>
    <w:rsid w:val="00F160DA"/>
    <w:rsid w:val="00F16974"/>
    <w:rsid w:val="00F16B4E"/>
    <w:rsid w:val="00F16E52"/>
    <w:rsid w:val="00F16EDB"/>
    <w:rsid w:val="00F17B14"/>
    <w:rsid w:val="00F17D39"/>
    <w:rsid w:val="00F203D8"/>
    <w:rsid w:val="00F20BBC"/>
    <w:rsid w:val="00F20F6F"/>
    <w:rsid w:val="00F21245"/>
    <w:rsid w:val="00F2186A"/>
    <w:rsid w:val="00F22AD7"/>
    <w:rsid w:val="00F23545"/>
    <w:rsid w:val="00F23976"/>
    <w:rsid w:val="00F23B48"/>
    <w:rsid w:val="00F23E08"/>
    <w:rsid w:val="00F23F1C"/>
    <w:rsid w:val="00F2429F"/>
    <w:rsid w:val="00F2455F"/>
    <w:rsid w:val="00F24959"/>
    <w:rsid w:val="00F249BC"/>
    <w:rsid w:val="00F25E12"/>
    <w:rsid w:val="00F2606A"/>
    <w:rsid w:val="00F26214"/>
    <w:rsid w:val="00F263E2"/>
    <w:rsid w:val="00F264A2"/>
    <w:rsid w:val="00F266F7"/>
    <w:rsid w:val="00F269AA"/>
    <w:rsid w:val="00F27103"/>
    <w:rsid w:val="00F272CE"/>
    <w:rsid w:val="00F27C0D"/>
    <w:rsid w:val="00F306FA"/>
    <w:rsid w:val="00F30A59"/>
    <w:rsid w:val="00F322A2"/>
    <w:rsid w:val="00F32529"/>
    <w:rsid w:val="00F3278F"/>
    <w:rsid w:val="00F32EFB"/>
    <w:rsid w:val="00F32F14"/>
    <w:rsid w:val="00F339AD"/>
    <w:rsid w:val="00F33B18"/>
    <w:rsid w:val="00F342EF"/>
    <w:rsid w:val="00F347C1"/>
    <w:rsid w:val="00F34BD0"/>
    <w:rsid w:val="00F34C8E"/>
    <w:rsid w:val="00F3503A"/>
    <w:rsid w:val="00F35063"/>
    <w:rsid w:val="00F3549C"/>
    <w:rsid w:val="00F35C2D"/>
    <w:rsid w:val="00F3610B"/>
    <w:rsid w:val="00F37A46"/>
    <w:rsid w:val="00F37AB1"/>
    <w:rsid w:val="00F41E1D"/>
    <w:rsid w:val="00F421C9"/>
    <w:rsid w:val="00F429AC"/>
    <w:rsid w:val="00F42D20"/>
    <w:rsid w:val="00F43267"/>
    <w:rsid w:val="00F4394C"/>
    <w:rsid w:val="00F43DC7"/>
    <w:rsid w:val="00F440E4"/>
    <w:rsid w:val="00F442E4"/>
    <w:rsid w:val="00F448AF"/>
    <w:rsid w:val="00F45664"/>
    <w:rsid w:val="00F45959"/>
    <w:rsid w:val="00F45AD3"/>
    <w:rsid w:val="00F463B5"/>
    <w:rsid w:val="00F465B8"/>
    <w:rsid w:val="00F46BED"/>
    <w:rsid w:val="00F470D8"/>
    <w:rsid w:val="00F47665"/>
    <w:rsid w:val="00F476A4"/>
    <w:rsid w:val="00F4780E"/>
    <w:rsid w:val="00F47E9C"/>
    <w:rsid w:val="00F504F9"/>
    <w:rsid w:val="00F5053E"/>
    <w:rsid w:val="00F50E30"/>
    <w:rsid w:val="00F51409"/>
    <w:rsid w:val="00F51503"/>
    <w:rsid w:val="00F519B7"/>
    <w:rsid w:val="00F519D5"/>
    <w:rsid w:val="00F524DA"/>
    <w:rsid w:val="00F52B90"/>
    <w:rsid w:val="00F52D05"/>
    <w:rsid w:val="00F52FAD"/>
    <w:rsid w:val="00F53139"/>
    <w:rsid w:val="00F534CA"/>
    <w:rsid w:val="00F537BE"/>
    <w:rsid w:val="00F539C9"/>
    <w:rsid w:val="00F53C0C"/>
    <w:rsid w:val="00F53EE4"/>
    <w:rsid w:val="00F540A0"/>
    <w:rsid w:val="00F542D6"/>
    <w:rsid w:val="00F544E6"/>
    <w:rsid w:val="00F54871"/>
    <w:rsid w:val="00F54C08"/>
    <w:rsid w:val="00F54F39"/>
    <w:rsid w:val="00F5502F"/>
    <w:rsid w:val="00F5510C"/>
    <w:rsid w:val="00F551ED"/>
    <w:rsid w:val="00F5563D"/>
    <w:rsid w:val="00F556AE"/>
    <w:rsid w:val="00F55DD1"/>
    <w:rsid w:val="00F55E12"/>
    <w:rsid w:val="00F565C9"/>
    <w:rsid w:val="00F566C1"/>
    <w:rsid w:val="00F56C10"/>
    <w:rsid w:val="00F56ED9"/>
    <w:rsid w:val="00F56F98"/>
    <w:rsid w:val="00F57005"/>
    <w:rsid w:val="00F57272"/>
    <w:rsid w:val="00F60F42"/>
    <w:rsid w:val="00F61029"/>
    <w:rsid w:val="00F61BB1"/>
    <w:rsid w:val="00F62225"/>
    <w:rsid w:val="00F62BEE"/>
    <w:rsid w:val="00F6304C"/>
    <w:rsid w:val="00F633B1"/>
    <w:rsid w:val="00F63422"/>
    <w:rsid w:val="00F635DA"/>
    <w:rsid w:val="00F63733"/>
    <w:rsid w:val="00F6379C"/>
    <w:rsid w:val="00F637DD"/>
    <w:rsid w:val="00F63A38"/>
    <w:rsid w:val="00F63C12"/>
    <w:rsid w:val="00F63C54"/>
    <w:rsid w:val="00F64055"/>
    <w:rsid w:val="00F64270"/>
    <w:rsid w:val="00F648AD"/>
    <w:rsid w:val="00F6506C"/>
    <w:rsid w:val="00F65505"/>
    <w:rsid w:val="00F662D4"/>
    <w:rsid w:val="00F66404"/>
    <w:rsid w:val="00F66B4C"/>
    <w:rsid w:val="00F66DDF"/>
    <w:rsid w:val="00F66E9C"/>
    <w:rsid w:val="00F673D4"/>
    <w:rsid w:val="00F67569"/>
    <w:rsid w:val="00F67B6E"/>
    <w:rsid w:val="00F67DFD"/>
    <w:rsid w:val="00F7007E"/>
    <w:rsid w:val="00F709EF"/>
    <w:rsid w:val="00F71048"/>
    <w:rsid w:val="00F712DA"/>
    <w:rsid w:val="00F7173E"/>
    <w:rsid w:val="00F72309"/>
    <w:rsid w:val="00F72648"/>
    <w:rsid w:val="00F729A8"/>
    <w:rsid w:val="00F735CB"/>
    <w:rsid w:val="00F73A6C"/>
    <w:rsid w:val="00F73B7E"/>
    <w:rsid w:val="00F7416A"/>
    <w:rsid w:val="00F763E7"/>
    <w:rsid w:val="00F76972"/>
    <w:rsid w:val="00F76E52"/>
    <w:rsid w:val="00F770A7"/>
    <w:rsid w:val="00F772D4"/>
    <w:rsid w:val="00F77606"/>
    <w:rsid w:val="00F77A50"/>
    <w:rsid w:val="00F77D0F"/>
    <w:rsid w:val="00F80092"/>
    <w:rsid w:val="00F801EF"/>
    <w:rsid w:val="00F803CA"/>
    <w:rsid w:val="00F80B1C"/>
    <w:rsid w:val="00F8118F"/>
    <w:rsid w:val="00F8162A"/>
    <w:rsid w:val="00F81830"/>
    <w:rsid w:val="00F819FD"/>
    <w:rsid w:val="00F8200D"/>
    <w:rsid w:val="00F823A1"/>
    <w:rsid w:val="00F83A4E"/>
    <w:rsid w:val="00F83E21"/>
    <w:rsid w:val="00F83F87"/>
    <w:rsid w:val="00F840BA"/>
    <w:rsid w:val="00F8410A"/>
    <w:rsid w:val="00F84389"/>
    <w:rsid w:val="00F848B5"/>
    <w:rsid w:val="00F85138"/>
    <w:rsid w:val="00F85415"/>
    <w:rsid w:val="00F85589"/>
    <w:rsid w:val="00F858E4"/>
    <w:rsid w:val="00F85C29"/>
    <w:rsid w:val="00F85C9D"/>
    <w:rsid w:val="00F8627C"/>
    <w:rsid w:val="00F86632"/>
    <w:rsid w:val="00F86911"/>
    <w:rsid w:val="00F86A1C"/>
    <w:rsid w:val="00F87184"/>
    <w:rsid w:val="00F8752C"/>
    <w:rsid w:val="00F8772D"/>
    <w:rsid w:val="00F87C96"/>
    <w:rsid w:val="00F87E87"/>
    <w:rsid w:val="00F909D2"/>
    <w:rsid w:val="00F911CB"/>
    <w:rsid w:val="00F913D9"/>
    <w:rsid w:val="00F919B1"/>
    <w:rsid w:val="00F91A59"/>
    <w:rsid w:val="00F9215B"/>
    <w:rsid w:val="00F930EF"/>
    <w:rsid w:val="00F9316E"/>
    <w:rsid w:val="00F9337F"/>
    <w:rsid w:val="00F93BD4"/>
    <w:rsid w:val="00F93E9D"/>
    <w:rsid w:val="00F93FF6"/>
    <w:rsid w:val="00F9452A"/>
    <w:rsid w:val="00F94EF9"/>
    <w:rsid w:val="00F9551A"/>
    <w:rsid w:val="00F957E6"/>
    <w:rsid w:val="00F9625C"/>
    <w:rsid w:val="00F96276"/>
    <w:rsid w:val="00F9698C"/>
    <w:rsid w:val="00F96BB6"/>
    <w:rsid w:val="00F96E74"/>
    <w:rsid w:val="00F971C5"/>
    <w:rsid w:val="00F97840"/>
    <w:rsid w:val="00F97929"/>
    <w:rsid w:val="00FA0506"/>
    <w:rsid w:val="00FA0B9E"/>
    <w:rsid w:val="00FA10FB"/>
    <w:rsid w:val="00FA18BB"/>
    <w:rsid w:val="00FA2ACF"/>
    <w:rsid w:val="00FA2AF7"/>
    <w:rsid w:val="00FA2EAD"/>
    <w:rsid w:val="00FA394B"/>
    <w:rsid w:val="00FA3D1B"/>
    <w:rsid w:val="00FA473A"/>
    <w:rsid w:val="00FA4881"/>
    <w:rsid w:val="00FA48F2"/>
    <w:rsid w:val="00FA4A60"/>
    <w:rsid w:val="00FA4D5F"/>
    <w:rsid w:val="00FA4EDF"/>
    <w:rsid w:val="00FA5B2F"/>
    <w:rsid w:val="00FA5BC6"/>
    <w:rsid w:val="00FA5CF9"/>
    <w:rsid w:val="00FA5D36"/>
    <w:rsid w:val="00FA66A1"/>
    <w:rsid w:val="00FA6725"/>
    <w:rsid w:val="00FA6CF5"/>
    <w:rsid w:val="00FA6ED2"/>
    <w:rsid w:val="00FA7155"/>
    <w:rsid w:val="00FA7E94"/>
    <w:rsid w:val="00FA7F2D"/>
    <w:rsid w:val="00FB0857"/>
    <w:rsid w:val="00FB13E8"/>
    <w:rsid w:val="00FB1A9C"/>
    <w:rsid w:val="00FB1F68"/>
    <w:rsid w:val="00FB27C7"/>
    <w:rsid w:val="00FB28D4"/>
    <w:rsid w:val="00FB37E5"/>
    <w:rsid w:val="00FB3C51"/>
    <w:rsid w:val="00FB3CBE"/>
    <w:rsid w:val="00FB3E20"/>
    <w:rsid w:val="00FB3E96"/>
    <w:rsid w:val="00FB3F26"/>
    <w:rsid w:val="00FB40A6"/>
    <w:rsid w:val="00FB4B07"/>
    <w:rsid w:val="00FB5191"/>
    <w:rsid w:val="00FB52D9"/>
    <w:rsid w:val="00FB595E"/>
    <w:rsid w:val="00FB5992"/>
    <w:rsid w:val="00FB5AEC"/>
    <w:rsid w:val="00FB6F82"/>
    <w:rsid w:val="00FC0587"/>
    <w:rsid w:val="00FC07C3"/>
    <w:rsid w:val="00FC13C5"/>
    <w:rsid w:val="00FC16A7"/>
    <w:rsid w:val="00FC1B04"/>
    <w:rsid w:val="00FC1CB9"/>
    <w:rsid w:val="00FC1D3F"/>
    <w:rsid w:val="00FC1DBA"/>
    <w:rsid w:val="00FC21F2"/>
    <w:rsid w:val="00FC221A"/>
    <w:rsid w:val="00FC24FE"/>
    <w:rsid w:val="00FC2A0D"/>
    <w:rsid w:val="00FC2B06"/>
    <w:rsid w:val="00FC2E22"/>
    <w:rsid w:val="00FC2F20"/>
    <w:rsid w:val="00FC354F"/>
    <w:rsid w:val="00FC3551"/>
    <w:rsid w:val="00FC374B"/>
    <w:rsid w:val="00FC37F3"/>
    <w:rsid w:val="00FC3D83"/>
    <w:rsid w:val="00FC45FB"/>
    <w:rsid w:val="00FC5032"/>
    <w:rsid w:val="00FC5293"/>
    <w:rsid w:val="00FC56E4"/>
    <w:rsid w:val="00FC597D"/>
    <w:rsid w:val="00FC5B8F"/>
    <w:rsid w:val="00FC5CCA"/>
    <w:rsid w:val="00FC5E8D"/>
    <w:rsid w:val="00FC609F"/>
    <w:rsid w:val="00FC6350"/>
    <w:rsid w:val="00FC639D"/>
    <w:rsid w:val="00FC6908"/>
    <w:rsid w:val="00FC6C68"/>
    <w:rsid w:val="00FC6D61"/>
    <w:rsid w:val="00FC6FDA"/>
    <w:rsid w:val="00FC73AA"/>
    <w:rsid w:val="00FD039B"/>
    <w:rsid w:val="00FD0868"/>
    <w:rsid w:val="00FD0C5B"/>
    <w:rsid w:val="00FD0DCE"/>
    <w:rsid w:val="00FD1C04"/>
    <w:rsid w:val="00FD23B8"/>
    <w:rsid w:val="00FD269D"/>
    <w:rsid w:val="00FD2735"/>
    <w:rsid w:val="00FD2747"/>
    <w:rsid w:val="00FD2B51"/>
    <w:rsid w:val="00FD2BEE"/>
    <w:rsid w:val="00FD2FDC"/>
    <w:rsid w:val="00FD30AE"/>
    <w:rsid w:val="00FD350A"/>
    <w:rsid w:val="00FD388B"/>
    <w:rsid w:val="00FD412B"/>
    <w:rsid w:val="00FD4224"/>
    <w:rsid w:val="00FD4652"/>
    <w:rsid w:val="00FD46AC"/>
    <w:rsid w:val="00FD47E8"/>
    <w:rsid w:val="00FD4AF8"/>
    <w:rsid w:val="00FD4C8E"/>
    <w:rsid w:val="00FD4FB8"/>
    <w:rsid w:val="00FD5158"/>
    <w:rsid w:val="00FD5844"/>
    <w:rsid w:val="00FD5E34"/>
    <w:rsid w:val="00FD5FA7"/>
    <w:rsid w:val="00FD638C"/>
    <w:rsid w:val="00FD6453"/>
    <w:rsid w:val="00FD6561"/>
    <w:rsid w:val="00FD6737"/>
    <w:rsid w:val="00FD6AA6"/>
    <w:rsid w:val="00FD6E60"/>
    <w:rsid w:val="00FD764E"/>
    <w:rsid w:val="00FD7821"/>
    <w:rsid w:val="00FD78EA"/>
    <w:rsid w:val="00FE072C"/>
    <w:rsid w:val="00FE0738"/>
    <w:rsid w:val="00FE0A9A"/>
    <w:rsid w:val="00FE0BCD"/>
    <w:rsid w:val="00FE0E33"/>
    <w:rsid w:val="00FE0E77"/>
    <w:rsid w:val="00FE0FD3"/>
    <w:rsid w:val="00FE1265"/>
    <w:rsid w:val="00FE13FA"/>
    <w:rsid w:val="00FE1A8C"/>
    <w:rsid w:val="00FE1F78"/>
    <w:rsid w:val="00FE20DC"/>
    <w:rsid w:val="00FE2299"/>
    <w:rsid w:val="00FE27EC"/>
    <w:rsid w:val="00FE3051"/>
    <w:rsid w:val="00FE3C5B"/>
    <w:rsid w:val="00FE3DAD"/>
    <w:rsid w:val="00FE41F4"/>
    <w:rsid w:val="00FE43F4"/>
    <w:rsid w:val="00FE4823"/>
    <w:rsid w:val="00FE50FD"/>
    <w:rsid w:val="00FE570A"/>
    <w:rsid w:val="00FE6254"/>
    <w:rsid w:val="00FE6478"/>
    <w:rsid w:val="00FE660C"/>
    <w:rsid w:val="00FE677A"/>
    <w:rsid w:val="00FE68F4"/>
    <w:rsid w:val="00FE6AA0"/>
    <w:rsid w:val="00FE6BEC"/>
    <w:rsid w:val="00FE6EEA"/>
    <w:rsid w:val="00FE6F3A"/>
    <w:rsid w:val="00FE706C"/>
    <w:rsid w:val="00FE72A2"/>
    <w:rsid w:val="00FF004C"/>
    <w:rsid w:val="00FF07BB"/>
    <w:rsid w:val="00FF0828"/>
    <w:rsid w:val="00FF0FC7"/>
    <w:rsid w:val="00FF1BD4"/>
    <w:rsid w:val="00FF1D25"/>
    <w:rsid w:val="00FF2356"/>
    <w:rsid w:val="00FF2387"/>
    <w:rsid w:val="00FF2C5D"/>
    <w:rsid w:val="00FF2D2F"/>
    <w:rsid w:val="00FF366C"/>
    <w:rsid w:val="00FF367A"/>
    <w:rsid w:val="00FF3AC8"/>
    <w:rsid w:val="00FF3DEA"/>
    <w:rsid w:val="00FF3DED"/>
    <w:rsid w:val="00FF3FB6"/>
    <w:rsid w:val="00FF40A5"/>
    <w:rsid w:val="00FF4B15"/>
    <w:rsid w:val="00FF593F"/>
    <w:rsid w:val="00FF606A"/>
    <w:rsid w:val="00FF60CD"/>
    <w:rsid w:val="00FF6773"/>
    <w:rsid w:val="00FF6CA5"/>
    <w:rsid w:val="00FF6D0F"/>
    <w:rsid w:val="00FF7462"/>
    <w:rsid w:val="00FF7ACF"/>
    <w:rsid w:val="00FF7FF0"/>
    <w:rsid w:val="01589687"/>
    <w:rsid w:val="045AC9BB"/>
    <w:rsid w:val="09602655"/>
    <w:rsid w:val="0C3B23A5"/>
    <w:rsid w:val="0C85D5A8"/>
    <w:rsid w:val="0FBB6A1C"/>
    <w:rsid w:val="1131F7B0"/>
    <w:rsid w:val="16E117D1"/>
    <w:rsid w:val="18326E23"/>
    <w:rsid w:val="2604CCD1"/>
    <w:rsid w:val="33C4D0C9"/>
    <w:rsid w:val="3427B4D3"/>
    <w:rsid w:val="35D2C7CD"/>
    <w:rsid w:val="38485807"/>
    <w:rsid w:val="3CD8DBE8"/>
    <w:rsid w:val="5B844CFE"/>
    <w:rsid w:val="61FE0ADC"/>
    <w:rsid w:val="66C29E69"/>
    <w:rsid w:val="67AE73D6"/>
    <w:rsid w:val="694A4437"/>
    <w:rsid w:val="6BD581F9"/>
    <w:rsid w:val="6C7F5421"/>
    <w:rsid w:val="6D69D0D5"/>
    <w:rsid w:val="6E4537E5"/>
    <w:rsid w:val="74300682"/>
    <w:rsid w:val="78F2AB1D"/>
    <w:rsid w:val="7A83B8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DB32"/>
  <w15:chartTrackingRefBased/>
  <w15:docId w15:val="{CC33C033-6CD8-4006-A64E-9583A998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6F72"/>
    <w:rPr>
      <w:sz w:val="24"/>
    </w:rPr>
  </w:style>
  <w:style w:type="paragraph" w:styleId="Heading1">
    <w:name w:val="heading 1"/>
    <w:basedOn w:val="Normal"/>
    <w:next w:val="Normal"/>
    <w:link w:val="Heading1Char"/>
    <w:uiPriority w:val="9"/>
    <w:rsid w:val="002104BE"/>
    <w:pPr>
      <w:keepNext/>
      <w:keepLines/>
      <w:spacing w:before="240" w:after="0"/>
      <w:outlineLvl w:val="0"/>
    </w:pPr>
    <w:rPr>
      <w:rFonts w:asciiTheme="majorHAnsi" w:eastAsiaTheme="majorEastAsia" w:hAnsiTheme="majorHAnsi" w:cstheme="majorBidi"/>
      <w:color w:val="295557" w:themeColor="accent1" w:themeShade="BF"/>
      <w:sz w:val="32"/>
      <w:szCs w:val="32"/>
    </w:rPr>
  </w:style>
  <w:style w:type="paragraph" w:styleId="Heading2">
    <w:name w:val="heading 2"/>
    <w:basedOn w:val="Normal"/>
    <w:next w:val="Normal"/>
    <w:link w:val="Heading2Char"/>
    <w:uiPriority w:val="9"/>
    <w:semiHidden/>
    <w:unhideWhenUsed/>
    <w:rsid w:val="005D6D4B"/>
    <w:pPr>
      <w:keepNext/>
      <w:keepLines/>
      <w:spacing w:before="40" w:after="0"/>
      <w:outlineLvl w:val="1"/>
    </w:pPr>
    <w:rPr>
      <w:rFonts w:asciiTheme="majorHAnsi" w:eastAsiaTheme="majorEastAsia" w:hAnsiTheme="majorHAnsi" w:cstheme="majorBidi"/>
      <w:color w:val="295557" w:themeColor="accent1" w:themeShade="BF"/>
      <w:sz w:val="26"/>
      <w:szCs w:val="26"/>
    </w:rPr>
  </w:style>
  <w:style w:type="paragraph" w:styleId="Heading3">
    <w:name w:val="heading 3"/>
    <w:basedOn w:val="Normal"/>
    <w:next w:val="Normal"/>
    <w:link w:val="Heading3Char"/>
    <w:uiPriority w:val="9"/>
    <w:semiHidden/>
    <w:unhideWhenUsed/>
    <w:qFormat/>
    <w:rsid w:val="005D6D4B"/>
    <w:pPr>
      <w:keepNext/>
      <w:keepLines/>
      <w:spacing w:before="40" w:after="0"/>
      <w:outlineLvl w:val="2"/>
    </w:pPr>
    <w:rPr>
      <w:rFonts w:asciiTheme="majorHAnsi" w:eastAsiaTheme="majorEastAsia" w:hAnsiTheme="majorHAnsi" w:cstheme="majorBidi"/>
      <w:color w:val="1B383A" w:themeColor="accent1" w:themeShade="7F"/>
      <w:szCs w:val="24"/>
    </w:rPr>
  </w:style>
  <w:style w:type="paragraph" w:styleId="Heading4">
    <w:name w:val="heading 4"/>
    <w:basedOn w:val="Normal"/>
    <w:next w:val="Normal"/>
    <w:link w:val="Heading4Char"/>
    <w:uiPriority w:val="9"/>
    <w:unhideWhenUsed/>
    <w:qFormat/>
    <w:rsid w:val="008764F7"/>
    <w:pPr>
      <w:keepNext/>
      <w:keepLines/>
      <w:spacing w:before="240" w:after="40" w:line="256" w:lineRule="auto"/>
      <w:outlineLvl w:val="3"/>
    </w:pPr>
    <w:rPr>
      <w:rFonts w:ascii="Calibri" w:eastAsia="Times New Roman" w:hAnsi="Calibri" w:cs="Calibri"/>
      <w:b/>
      <w:color w:val="201547"/>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972"/>
  </w:style>
  <w:style w:type="paragraph" w:styleId="Footer">
    <w:name w:val="footer"/>
    <w:basedOn w:val="Normal"/>
    <w:link w:val="FooterChar"/>
    <w:uiPriority w:val="99"/>
    <w:unhideWhenUsed/>
    <w:rsid w:val="004B1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972"/>
  </w:style>
  <w:style w:type="character" w:customStyle="1" w:styleId="Heading1Char">
    <w:name w:val="Heading 1 Char"/>
    <w:basedOn w:val="DefaultParagraphFont"/>
    <w:link w:val="Heading1"/>
    <w:uiPriority w:val="9"/>
    <w:rsid w:val="002104BE"/>
    <w:rPr>
      <w:rFonts w:asciiTheme="majorHAnsi" w:eastAsiaTheme="majorEastAsia" w:hAnsiTheme="majorHAnsi" w:cstheme="majorBidi"/>
      <w:color w:val="295557" w:themeColor="accent1" w:themeShade="BF"/>
      <w:sz w:val="32"/>
      <w:szCs w:val="32"/>
    </w:rPr>
  </w:style>
  <w:style w:type="character" w:styleId="BookTitle">
    <w:name w:val="Book Title"/>
    <w:basedOn w:val="DefaultParagraphFont"/>
    <w:uiPriority w:val="33"/>
    <w:rsid w:val="002104BE"/>
    <w:rPr>
      <w:b/>
      <w:bCs/>
      <w:i/>
      <w:iCs/>
      <w:spacing w:val="5"/>
    </w:rPr>
  </w:style>
  <w:style w:type="paragraph" w:styleId="NoSpacing">
    <w:name w:val="No Spacing"/>
    <w:uiPriority w:val="1"/>
    <w:rsid w:val="002104BE"/>
    <w:pPr>
      <w:spacing w:after="0" w:line="240" w:lineRule="auto"/>
    </w:pPr>
  </w:style>
  <w:style w:type="paragraph" w:styleId="TOC1">
    <w:name w:val="toc 1"/>
    <w:basedOn w:val="Normal"/>
    <w:next w:val="Normal"/>
    <w:autoRedefine/>
    <w:uiPriority w:val="39"/>
    <w:unhideWhenUsed/>
    <w:rsid w:val="004A0ED0"/>
    <w:pPr>
      <w:spacing w:after="100"/>
    </w:pPr>
  </w:style>
  <w:style w:type="table" w:styleId="TableGrid">
    <w:name w:val="Table Grid"/>
    <w:basedOn w:val="TableNormal"/>
    <w:uiPriority w:val="39"/>
    <w:rsid w:val="002929D7"/>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44DA"/>
    <w:rPr>
      <w:color w:val="605E5C"/>
      <w:shd w:val="clear" w:color="auto" w:fill="E1DFDD"/>
    </w:rPr>
  </w:style>
  <w:style w:type="paragraph" w:customStyle="1" w:styleId="Heading1-report">
    <w:name w:val="Heading 1 - report"/>
    <w:basedOn w:val="Normal"/>
    <w:next w:val="Normal"/>
    <w:qFormat/>
    <w:rsid w:val="00C61459"/>
    <w:pPr>
      <w:keepNext/>
      <w:spacing w:before="480" w:line="168" w:lineRule="auto"/>
    </w:pPr>
    <w:rPr>
      <w:b/>
      <w:bCs/>
      <w:color w:val="201547"/>
      <w:sz w:val="48"/>
      <w:szCs w:val="48"/>
    </w:rPr>
  </w:style>
  <w:style w:type="paragraph" w:customStyle="1" w:styleId="Heading2-report">
    <w:name w:val="Heading 2 - report"/>
    <w:basedOn w:val="Normal"/>
    <w:next w:val="Normal"/>
    <w:qFormat/>
    <w:rsid w:val="007B22C3"/>
    <w:pPr>
      <w:keepNext/>
      <w:spacing w:before="80" w:after="80"/>
    </w:pPr>
    <w:rPr>
      <w:b/>
      <w:bCs/>
      <w:color w:val="201547"/>
      <w:sz w:val="36"/>
      <w:szCs w:val="36"/>
    </w:rPr>
  </w:style>
  <w:style w:type="paragraph" w:customStyle="1" w:styleId="Heading3-report">
    <w:name w:val="Heading 3 - report"/>
    <w:basedOn w:val="Normal"/>
    <w:next w:val="Normal"/>
    <w:qFormat/>
    <w:rsid w:val="007B22C3"/>
    <w:pPr>
      <w:keepNext/>
      <w:spacing w:before="80" w:after="80"/>
    </w:pPr>
    <w:rPr>
      <w:b/>
      <w:bCs/>
      <w:color w:val="201547"/>
      <w:sz w:val="28"/>
      <w:szCs w:val="28"/>
    </w:rPr>
  </w:style>
  <w:style w:type="paragraph" w:customStyle="1" w:styleId="Tableheading">
    <w:name w:val="Table heading"/>
    <w:basedOn w:val="Normal"/>
    <w:next w:val="Normal"/>
    <w:qFormat/>
    <w:rsid w:val="00411EC0"/>
    <w:pPr>
      <w:keepNext/>
      <w:spacing w:after="0"/>
    </w:pPr>
    <w:rPr>
      <w:b/>
      <w:bCs/>
      <w:szCs w:val="24"/>
    </w:rPr>
  </w:style>
  <w:style w:type="table" w:customStyle="1" w:styleId="LHCtable">
    <w:name w:val="LHC table"/>
    <w:basedOn w:val="TableNormal"/>
    <w:uiPriority w:val="99"/>
    <w:rsid w:val="002104BE"/>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style>
  <w:style w:type="paragraph" w:customStyle="1" w:styleId="Blockquote">
    <w:name w:val="Block quote"/>
    <w:basedOn w:val="Normal"/>
    <w:next w:val="Normal"/>
    <w:qFormat/>
    <w:rsid w:val="00EA5C24"/>
    <w:pPr>
      <w:keepLines/>
      <w:ind w:left="851" w:right="851"/>
    </w:pPr>
    <w:rPr>
      <w:sz w:val="22"/>
    </w:rPr>
  </w:style>
  <w:style w:type="character" w:styleId="Strong">
    <w:name w:val="Strong"/>
    <w:basedOn w:val="DefaultParagraphFont"/>
    <w:uiPriority w:val="22"/>
    <w:qFormat/>
    <w:rsid w:val="002929D7"/>
    <w:rPr>
      <w:b/>
      <w:bCs/>
    </w:rPr>
  </w:style>
  <w:style w:type="character" w:styleId="IntenseReference">
    <w:name w:val="Intense Reference"/>
    <w:basedOn w:val="DefaultParagraphFont"/>
    <w:uiPriority w:val="32"/>
    <w:rsid w:val="002104BE"/>
    <w:rPr>
      <w:b/>
      <w:bCs/>
      <w:smallCaps/>
      <w:color w:val="377375" w:themeColor="accent1"/>
      <w:spacing w:val="5"/>
    </w:rPr>
  </w:style>
  <w:style w:type="paragraph" w:customStyle="1" w:styleId="Bullet">
    <w:name w:val="Bullet"/>
    <w:basedOn w:val="Normal"/>
    <w:qFormat/>
    <w:rsid w:val="00737BF6"/>
    <w:pPr>
      <w:numPr>
        <w:numId w:val="1"/>
      </w:numPr>
      <w:spacing w:after="100"/>
    </w:pPr>
  </w:style>
  <w:style w:type="paragraph" w:customStyle="1" w:styleId="Bigquotetext">
    <w:name w:val="Big quote text"/>
    <w:basedOn w:val="Normal"/>
    <w:qFormat/>
    <w:rsid w:val="00EA5C24"/>
    <w:pPr>
      <w:keepLines/>
      <w:ind w:left="851" w:right="851"/>
    </w:pPr>
    <w:rPr>
      <w:color w:val="201547"/>
      <w:sz w:val="36"/>
    </w:rPr>
  </w:style>
  <w:style w:type="paragraph" w:customStyle="1" w:styleId="Casestudytitle">
    <w:name w:val="Case study title"/>
    <w:basedOn w:val="Heading1-report"/>
    <w:next w:val="Bigquotetext"/>
    <w:qFormat/>
    <w:rsid w:val="00F54C08"/>
    <w:pPr>
      <w:ind w:left="851"/>
    </w:pPr>
  </w:style>
  <w:style w:type="paragraph" w:styleId="EndnoteText">
    <w:name w:val="endnote text"/>
    <w:basedOn w:val="Normal"/>
    <w:link w:val="EndnoteTextChar"/>
    <w:uiPriority w:val="99"/>
    <w:semiHidden/>
    <w:unhideWhenUsed/>
    <w:rsid w:val="003B72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725D"/>
    <w:rPr>
      <w:sz w:val="20"/>
      <w:szCs w:val="20"/>
    </w:rPr>
  </w:style>
  <w:style w:type="character" w:styleId="EndnoteReference">
    <w:name w:val="endnote reference"/>
    <w:basedOn w:val="DefaultParagraphFont"/>
    <w:uiPriority w:val="99"/>
    <w:semiHidden/>
    <w:unhideWhenUsed/>
    <w:rsid w:val="003B725D"/>
    <w:rPr>
      <w:vertAlign w:val="superscript"/>
    </w:rPr>
  </w:style>
  <w:style w:type="character" w:styleId="IntenseEmphasis">
    <w:name w:val="Intense Emphasis"/>
    <w:basedOn w:val="DefaultParagraphFont"/>
    <w:uiPriority w:val="21"/>
    <w:rsid w:val="002104BE"/>
    <w:rPr>
      <w:i/>
      <w:iCs/>
      <w:color w:val="377375" w:themeColor="accent1"/>
    </w:rPr>
  </w:style>
  <w:style w:type="paragraph" w:styleId="FootnoteText">
    <w:name w:val="footnote text"/>
    <w:basedOn w:val="Normal"/>
    <w:link w:val="FootnoteTextChar"/>
    <w:uiPriority w:val="99"/>
    <w:semiHidden/>
    <w:unhideWhenUsed/>
    <w:rsid w:val="003B7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25D"/>
    <w:rPr>
      <w:sz w:val="20"/>
      <w:szCs w:val="20"/>
    </w:rPr>
  </w:style>
  <w:style w:type="paragraph" w:styleId="Subtitle">
    <w:name w:val="Subtitle"/>
    <w:basedOn w:val="Normal"/>
    <w:next w:val="Normal"/>
    <w:link w:val="SubtitleChar"/>
    <w:uiPriority w:val="11"/>
    <w:rsid w:val="002104B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104BE"/>
    <w:rPr>
      <w:rFonts w:eastAsiaTheme="minorEastAsia"/>
      <w:color w:val="5A5A5A" w:themeColor="text1" w:themeTint="A5"/>
      <w:spacing w:val="15"/>
    </w:rPr>
  </w:style>
  <w:style w:type="character" w:styleId="FootnoteReference">
    <w:name w:val="footnote reference"/>
    <w:basedOn w:val="DefaultParagraphFont"/>
    <w:uiPriority w:val="99"/>
    <w:semiHidden/>
    <w:unhideWhenUsed/>
    <w:rsid w:val="003B725D"/>
    <w:rPr>
      <w:vertAlign w:val="superscript"/>
    </w:rPr>
  </w:style>
  <w:style w:type="paragraph" w:customStyle="1" w:styleId="Footnotemarker-report">
    <w:name w:val="Footnote marker - report"/>
    <w:basedOn w:val="Normal"/>
    <w:next w:val="Normal"/>
    <w:qFormat/>
    <w:rsid w:val="00EA5C24"/>
    <w:pPr>
      <w:keepLines/>
    </w:pPr>
  </w:style>
  <w:style w:type="paragraph" w:customStyle="1" w:styleId="Reportfootnotetext">
    <w:name w:val="Report footnote text"/>
    <w:basedOn w:val="FootnoteText"/>
    <w:qFormat/>
    <w:rsid w:val="003B725D"/>
    <w:rPr>
      <w:lang w:val="en-US"/>
    </w:rPr>
  </w:style>
  <w:style w:type="paragraph" w:styleId="ListParagraph">
    <w:name w:val="List Paragraph"/>
    <w:basedOn w:val="Normal"/>
    <w:uiPriority w:val="34"/>
    <w:qFormat/>
    <w:rsid w:val="00F524DA"/>
    <w:pPr>
      <w:ind w:left="720"/>
      <w:contextualSpacing/>
    </w:pPr>
  </w:style>
  <w:style w:type="paragraph" w:customStyle="1" w:styleId="Reportnumberedlist">
    <w:name w:val="Report numbered list"/>
    <w:basedOn w:val="ListParagraph"/>
    <w:qFormat/>
    <w:rsid w:val="00737BF6"/>
    <w:pPr>
      <w:numPr>
        <w:numId w:val="3"/>
      </w:numPr>
      <w:spacing w:before="60" w:after="60"/>
      <w:ind w:left="714" w:hanging="357"/>
      <w:contextualSpacing w:val="0"/>
    </w:pPr>
  </w:style>
  <w:style w:type="paragraph" w:customStyle="1" w:styleId="Sourcetitle">
    <w:name w:val="Source title"/>
    <w:basedOn w:val="Normal"/>
    <w:next w:val="Normal"/>
    <w:qFormat/>
    <w:rsid w:val="00EA5C24"/>
    <w:pPr>
      <w:keepLines/>
      <w:spacing w:line="240" w:lineRule="auto"/>
    </w:pPr>
    <w:rPr>
      <w:i/>
      <w:iCs/>
      <w:sz w:val="20"/>
      <w:szCs w:val="20"/>
    </w:rPr>
  </w:style>
  <w:style w:type="paragraph" w:customStyle="1" w:styleId="LHCrecommendationsubheading">
    <w:name w:val="LHC recommendation subheading"/>
    <w:basedOn w:val="Heading3-report"/>
    <w:next w:val="LHCrecommendationtext"/>
    <w:rsid w:val="005A3013"/>
  </w:style>
  <w:style w:type="paragraph" w:customStyle="1" w:styleId="LHCrecommendationtext">
    <w:name w:val="LHC recommendation text"/>
    <w:basedOn w:val="Normal"/>
    <w:rsid w:val="00EA5C24"/>
    <w:pPr>
      <w:keepLines/>
      <w:numPr>
        <w:numId w:val="5"/>
      </w:numPr>
    </w:pPr>
  </w:style>
  <w:style w:type="paragraph" w:customStyle="1" w:styleId="LHCletteredsub-point">
    <w:name w:val="LHC lettered sub-point"/>
    <w:basedOn w:val="LHCrecommendationtext"/>
    <w:rsid w:val="003F2DF7"/>
    <w:pPr>
      <w:numPr>
        <w:ilvl w:val="1"/>
        <w:numId w:val="4"/>
      </w:numPr>
      <w:ind w:left="1037" w:hanging="357"/>
    </w:pPr>
  </w:style>
  <w:style w:type="paragraph" w:styleId="TOCHeading">
    <w:name w:val="TOC Heading"/>
    <w:basedOn w:val="Heading1"/>
    <w:next w:val="Normal"/>
    <w:uiPriority w:val="39"/>
    <w:unhideWhenUsed/>
    <w:qFormat/>
    <w:rsid w:val="005D6D4B"/>
    <w:pPr>
      <w:outlineLvl w:val="9"/>
    </w:pPr>
    <w:rPr>
      <w:lang w:val="en-US"/>
    </w:rPr>
  </w:style>
  <w:style w:type="character" w:customStyle="1" w:styleId="Heading2Char">
    <w:name w:val="Heading 2 Char"/>
    <w:basedOn w:val="DefaultParagraphFont"/>
    <w:link w:val="Heading2"/>
    <w:uiPriority w:val="9"/>
    <w:semiHidden/>
    <w:rsid w:val="005D6D4B"/>
    <w:rPr>
      <w:rFonts w:asciiTheme="majorHAnsi" w:eastAsiaTheme="majorEastAsia" w:hAnsiTheme="majorHAnsi" w:cstheme="majorBidi"/>
      <w:color w:val="295557" w:themeColor="accent1" w:themeShade="BF"/>
      <w:sz w:val="26"/>
      <w:szCs w:val="26"/>
    </w:rPr>
  </w:style>
  <w:style w:type="character" w:customStyle="1" w:styleId="Heading3Char">
    <w:name w:val="Heading 3 Char"/>
    <w:basedOn w:val="DefaultParagraphFont"/>
    <w:link w:val="Heading3"/>
    <w:uiPriority w:val="9"/>
    <w:semiHidden/>
    <w:rsid w:val="005D6D4B"/>
    <w:rPr>
      <w:rFonts w:asciiTheme="majorHAnsi" w:eastAsiaTheme="majorEastAsia" w:hAnsiTheme="majorHAnsi" w:cstheme="majorBidi"/>
      <w:color w:val="1B383A" w:themeColor="accent1" w:themeShade="7F"/>
      <w:sz w:val="24"/>
      <w:szCs w:val="24"/>
    </w:rPr>
  </w:style>
  <w:style w:type="paragraph" w:styleId="TOC2">
    <w:name w:val="toc 2"/>
    <w:basedOn w:val="Normal"/>
    <w:next w:val="Normal"/>
    <w:autoRedefine/>
    <w:uiPriority w:val="39"/>
    <w:unhideWhenUsed/>
    <w:rsid w:val="005D6D4B"/>
    <w:pPr>
      <w:spacing w:after="100"/>
      <w:ind w:left="220"/>
    </w:pPr>
  </w:style>
  <w:style w:type="paragraph" w:styleId="TOC3">
    <w:name w:val="toc 3"/>
    <w:basedOn w:val="Normal"/>
    <w:next w:val="Normal"/>
    <w:autoRedefine/>
    <w:uiPriority w:val="39"/>
    <w:unhideWhenUsed/>
    <w:rsid w:val="005D6D4B"/>
    <w:pPr>
      <w:spacing w:after="100"/>
      <w:ind w:left="440"/>
    </w:pPr>
  </w:style>
  <w:style w:type="character" w:styleId="Hyperlink">
    <w:name w:val="Hyperlink"/>
    <w:basedOn w:val="DefaultParagraphFont"/>
    <w:uiPriority w:val="99"/>
    <w:unhideWhenUsed/>
    <w:rsid w:val="00C27BDA"/>
    <w:rPr>
      <w:color w:val="201547"/>
      <w:u w:val="single"/>
    </w:rPr>
  </w:style>
  <w:style w:type="paragraph" w:customStyle="1" w:styleId="paragraph">
    <w:name w:val="paragraph"/>
    <w:basedOn w:val="Normal"/>
    <w:rsid w:val="004947B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4947BE"/>
  </w:style>
  <w:style w:type="character" w:customStyle="1" w:styleId="eop">
    <w:name w:val="eop"/>
    <w:basedOn w:val="DefaultParagraphFont"/>
    <w:rsid w:val="004947BE"/>
  </w:style>
  <w:style w:type="paragraph" w:customStyle="1" w:styleId="Reportcasestudytext">
    <w:name w:val="Report case study text"/>
    <w:rsid w:val="00E72767"/>
    <w:pPr>
      <w:ind w:left="794"/>
    </w:pPr>
    <w:rPr>
      <w:color w:val="201547"/>
      <w:sz w:val="28"/>
      <w:szCs w:val="18"/>
    </w:rPr>
  </w:style>
  <w:style w:type="paragraph" w:customStyle="1" w:styleId="Casestudytext">
    <w:name w:val="Case study text"/>
    <w:basedOn w:val="Reportcasestudytext"/>
    <w:rsid w:val="00E72767"/>
    <w:pPr>
      <w:ind w:left="851"/>
    </w:pPr>
  </w:style>
  <w:style w:type="table" w:styleId="TableGridLight">
    <w:name w:val="Grid Table Light"/>
    <w:basedOn w:val="TableNormal"/>
    <w:uiPriority w:val="40"/>
    <w:rsid w:val="004618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31A16"/>
    <w:rPr>
      <w:sz w:val="16"/>
      <w:szCs w:val="16"/>
    </w:rPr>
  </w:style>
  <w:style w:type="paragraph" w:styleId="CommentText">
    <w:name w:val="annotation text"/>
    <w:basedOn w:val="Normal"/>
    <w:link w:val="CommentTextChar"/>
    <w:uiPriority w:val="99"/>
    <w:unhideWhenUsed/>
    <w:rsid w:val="00531A16"/>
    <w:pPr>
      <w:spacing w:line="240" w:lineRule="auto"/>
    </w:pPr>
    <w:rPr>
      <w:sz w:val="20"/>
      <w:szCs w:val="20"/>
    </w:rPr>
  </w:style>
  <w:style w:type="character" w:customStyle="1" w:styleId="CommentTextChar">
    <w:name w:val="Comment Text Char"/>
    <w:basedOn w:val="DefaultParagraphFont"/>
    <w:link w:val="CommentText"/>
    <w:uiPriority w:val="99"/>
    <w:rsid w:val="00531A16"/>
    <w:rPr>
      <w:sz w:val="20"/>
      <w:szCs w:val="20"/>
    </w:rPr>
  </w:style>
  <w:style w:type="paragraph" w:styleId="CommentSubject">
    <w:name w:val="annotation subject"/>
    <w:basedOn w:val="CommentText"/>
    <w:next w:val="CommentText"/>
    <w:link w:val="CommentSubjectChar"/>
    <w:uiPriority w:val="99"/>
    <w:semiHidden/>
    <w:unhideWhenUsed/>
    <w:rsid w:val="00531A16"/>
    <w:rPr>
      <w:b/>
      <w:bCs/>
    </w:rPr>
  </w:style>
  <w:style w:type="character" w:customStyle="1" w:styleId="CommentSubjectChar">
    <w:name w:val="Comment Subject Char"/>
    <w:basedOn w:val="CommentTextChar"/>
    <w:link w:val="CommentSubject"/>
    <w:uiPriority w:val="99"/>
    <w:semiHidden/>
    <w:rsid w:val="00531A16"/>
    <w:rPr>
      <w:b/>
      <w:bCs/>
      <w:sz w:val="20"/>
      <w:szCs w:val="20"/>
    </w:rPr>
  </w:style>
  <w:style w:type="character" w:styleId="Emphasis">
    <w:name w:val="Emphasis"/>
    <w:basedOn w:val="DefaultParagraphFont"/>
    <w:uiPriority w:val="20"/>
    <w:qFormat/>
    <w:rsid w:val="00091271"/>
    <w:rPr>
      <w:i/>
      <w:iCs/>
    </w:rPr>
  </w:style>
  <w:style w:type="character" w:customStyle="1" w:styleId="superscript">
    <w:name w:val="superscript"/>
    <w:basedOn w:val="DefaultParagraphFont"/>
    <w:rsid w:val="00091271"/>
  </w:style>
  <w:style w:type="paragraph" w:styleId="Revision">
    <w:name w:val="Revision"/>
    <w:hidden/>
    <w:uiPriority w:val="99"/>
    <w:semiHidden/>
    <w:rsid w:val="00D5500A"/>
    <w:pPr>
      <w:spacing w:after="0" w:line="240" w:lineRule="auto"/>
    </w:pPr>
    <w:rPr>
      <w:sz w:val="24"/>
    </w:rPr>
  </w:style>
  <w:style w:type="paragraph" w:styleId="NormalWeb">
    <w:name w:val="Normal (Web)"/>
    <w:basedOn w:val="Normal"/>
    <w:uiPriority w:val="99"/>
    <w:semiHidden/>
    <w:unhideWhenUsed/>
    <w:rsid w:val="004D7CA3"/>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0">
    <w:name w:val="pf0"/>
    <w:basedOn w:val="Normal"/>
    <w:rsid w:val="00B9432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01">
    <w:name w:val="cf01"/>
    <w:basedOn w:val="DefaultParagraphFont"/>
    <w:rsid w:val="00B94320"/>
    <w:rPr>
      <w:rFonts w:ascii="Segoe UI" w:hAnsi="Segoe UI" w:cs="Segoe UI" w:hint="default"/>
      <w:sz w:val="18"/>
      <w:szCs w:val="18"/>
    </w:rPr>
  </w:style>
  <w:style w:type="character" w:customStyle="1" w:styleId="cf11">
    <w:name w:val="cf11"/>
    <w:basedOn w:val="DefaultParagraphFont"/>
    <w:rsid w:val="00B94320"/>
    <w:rPr>
      <w:rFonts w:ascii="Segoe UI" w:hAnsi="Segoe UI" w:cs="Segoe UI" w:hint="default"/>
      <w:i/>
      <w:iCs/>
      <w:sz w:val="18"/>
      <w:szCs w:val="18"/>
    </w:rPr>
  </w:style>
  <w:style w:type="paragraph" w:styleId="ListBullet">
    <w:name w:val="List Bullet"/>
    <w:basedOn w:val="Normal"/>
    <w:uiPriority w:val="99"/>
    <w:unhideWhenUsed/>
    <w:rsid w:val="007B4AC7"/>
    <w:pPr>
      <w:numPr>
        <w:numId w:val="2"/>
      </w:numPr>
      <w:contextualSpacing/>
    </w:pPr>
  </w:style>
  <w:style w:type="paragraph" w:styleId="Caption">
    <w:name w:val="caption"/>
    <w:basedOn w:val="Normal"/>
    <w:next w:val="Normal"/>
    <w:uiPriority w:val="35"/>
    <w:unhideWhenUsed/>
    <w:qFormat/>
    <w:rsid w:val="00092F77"/>
    <w:pPr>
      <w:spacing w:after="200" w:line="240" w:lineRule="auto"/>
    </w:pPr>
    <w:rPr>
      <w:i/>
      <w:iCs/>
      <w:color w:val="2B484E" w:themeColor="text2"/>
      <w:sz w:val="18"/>
      <w:szCs w:val="18"/>
    </w:rPr>
  </w:style>
  <w:style w:type="character" w:customStyle="1" w:styleId="Heading4Char">
    <w:name w:val="Heading 4 Char"/>
    <w:basedOn w:val="DefaultParagraphFont"/>
    <w:link w:val="Heading4"/>
    <w:uiPriority w:val="9"/>
    <w:rsid w:val="008764F7"/>
    <w:rPr>
      <w:rFonts w:ascii="Calibri" w:eastAsia="Times New Roman" w:hAnsi="Calibri" w:cs="Calibri"/>
      <w:b/>
      <w:color w:val="201547"/>
      <w:sz w:val="24"/>
      <w:szCs w:val="24"/>
      <w:lang w:eastAsia="en-AU"/>
    </w:rPr>
  </w:style>
  <w:style w:type="character" w:customStyle="1" w:styleId="xcontentpasted0">
    <w:name w:val="x_contentpasted0"/>
    <w:basedOn w:val="DefaultParagraphFont"/>
    <w:rsid w:val="00317BDD"/>
  </w:style>
  <w:style w:type="paragraph" w:customStyle="1" w:styleId="BoldedRightsIntro">
    <w:name w:val="Bolded Rights Intro"/>
    <w:basedOn w:val="Normal"/>
    <w:link w:val="BoldedRightsIntroChar"/>
    <w:qFormat/>
    <w:rsid w:val="006619C1"/>
    <w:pPr>
      <w:spacing w:before="360" w:after="240"/>
    </w:pPr>
    <w:rPr>
      <w:b/>
      <w:bCs/>
    </w:rPr>
  </w:style>
  <w:style w:type="character" w:customStyle="1" w:styleId="BoldedRightsIntroChar">
    <w:name w:val="Bolded Rights Intro Char"/>
    <w:basedOn w:val="DefaultParagraphFont"/>
    <w:link w:val="BoldedRightsIntro"/>
    <w:rsid w:val="006619C1"/>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8130">
      <w:bodyDiv w:val="1"/>
      <w:marLeft w:val="0"/>
      <w:marRight w:val="0"/>
      <w:marTop w:val="0"/>
      <w:marBottom w:val="0"/>
      <w:divBdr>
        <w:top w:val="none" w:sz="0" w:space="0" w:color="auto"/>
        <w:left w:val="none" w:sz="0" w:space="0" w:color="auto"/>
        <w:bottom w:val="none" w:sz="0" w:space="0" w:color="auto"/>
        <w:right w:val="none" w:sz="0" w:space="0" w:color="auto"/>
      </w:divBdr>
    </w:div>
    <w:div w:id="145634721">
      <w:bodyDiv w:val="1"/>
      <w:marLeft w:val="0"/>
      <w:marRight w:val="0"/>
      <w:marTop w:val="0"/>
      <w:marBottom w:val="0"/>
      <w:divBdr>
        <w:top w:val="none" w:sz="0" w:space="0" w:color="auto"/>
        <w:left w:val="none" w:sz="0" w:space="0" w:color="auto"/>
        <w:bottom w:val="none" w:sz="0" w:space="0" w:color="auto"/>
        <w:right w:val="none" w:sz="0" w:space="0" w:color="auto"/>
      </w:divBdr>
      <w:divsChild>
        <w:div w:id="1757704247">
          <w:marLeft w:val="0"/>
          <w:marRight w:val="0"/>
          <w:marTop w:val="0"/>
          <w:marBottom w:val="0"/>
          <w:divBdr>
            <w:top w:val="none" w:sz="0" w:space="0" w:color="auto"/>
            <w:left w:val="none" w:sz="0" w:space="0" w:color="auto"/>
            <w:bottom w:val="none" w:sz="0" w:space="0" w:color="auto"/>
            <w:right w:val="none" w:sz="0" w:space="0" w:color="auto"/>
          </w:divBdr>
          <w:divsChild>
            <w:div w:id="11870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1509">
      <w:bodyDiv w:val="1"/>
      <w:marLeft w:val="0"/>
      <w:marRight w:val="0"/>
      <w:marTop w:val="0"/>
      <w:marBottom w:val="0"/>
      <w:divBdr>
        <w:top w:val="none" w:sz="0" w:space="0" w:color="auto"/>
        <w:left w:val="none" w:sz="0" w:space="0" w:color="auto"/>
        <w:bottom w:val="none" w:sz="0" w:space="0" w:color="auto"/>
        <w:right w:val="none" w:sz="0" w:space="0" w:color="auto"/>
      </w:divBdr>
      <w:divsChild>
        <w:div w:id="1611471310">
          <w:marLeft w:val="0"/>
          <w:marRight w:val="0"/>
          <w:marTop w:val="0"/>
          <w:marBottom w:val="0"/>
          <w:divBdr>
            <w:top w:val="none" w:sz="0" w:space="0" w:color="auto"/>
            <w:left w:val="none" w:sz="0" w:space="0" w:color="auto"/>
            <w:bottom w:val="none" w:sz="0" w:space="0" w:color="auto"/>
            <w:right w:val="none" w:sz="0" w:space="0" w:color="auto"/>
          </w:divBdr>
          <w:divsChild>
            <w:div w:id="1352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1509">
      <w:bodyDiv w:val="1"/>
      <w:marLeft w:val="0"/>
      <w:marRight w:val="0"/>
      <w:marTop w:val="0"/>
      <w:marBottom w:val="0"/>
      <w:divBdr>
        <w:top w:val="none" w:sz="0" w:space="0" w:color="auto"/>
        <w:left w:val="none" w:sz="0" w:space="0" w:color="auto"/>
        <w:bottom w:val="none" w:sz="0" w:space="0" w:color="auto"/>
        <w:right w:val="none" w:sz="0" w:space="0" w:color="auto"/>
      </w:divBdr>
    </w:div>
    <w:div w:id="235867275">
      <w:bodyDiv w:val="1"/>
      <w:marLeft w:val="0"/>
      <w:marRight w:val="0"/>
      <w:marTop w:val="0"/>
      <w:marBottom w:val="0"/>
      <w:divBdr>
        <w:top w:val="none" w:sz="0" w:space="0" w:color="auto"/>
        <w:left w:val="none" w:sz="0" w:space="0" w:color="auto"/>
        <w:bottom w:val="none" w:sz="0" w:space="0" w:color="auto"/>
        <w:right w:val="none" w:sz="0" w:space="0" w:color="auto"/>
      </w:divBdr>
      <w:divsChild>
        <w:div w:id="1824540334">
          <w:marLeft w:val="0"/>
          <w:marRight w:val="0"/>
          <w:marTop w:val="0"/>
          <w:marBottom w:val="0"/>
          <w:divBdr>
            <w:top w:val="none" w:sz="0" w:space="0" w:color="auto"/>
            <w:left w:val="none" w:sz="0" w:space="0" w:color="auto"/>
            <w:bottom w:val="none" w:sz="0" w:space="0" w:color="auto"/>
            <w:right w:val="none" w:sz="0" w:space="0" w:color="auto"/>
          </w:divBdr>
          <w:divsChild>
            <w:div w:id="14450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894">
      <w:bodyDiv w:val="1"/>
      <w:marLeft w:val="0"/>
      <w:marRight w:val="0"/>
      <w:marTop w:val="0"/>
      <w:marBottom w:val="0"/>
      <w:divBdr>
        <w:top w:val="none" w:sz="0" w:space="0" w:color="auto"/>
        <w:left w:val="none" w:sz="0" w:space="0" w:color="auto"/>
        <w:bottom w:val="none" w:sz="0" w:space="0" w:color="auto"/>
        <w:right w:val="none" w:sz="0" w:space="0" w:color="auto"/>
      </w:divBdr>
      <w:divsChild>
        <w:div w:id="236402952">
          <w:marLeft w:val="0"/>
          <w:marRight w:val="0"/>
          <w:marTop w:val="0"/>
          <w:marBottom w:val="0"/>
          <w:divBdr>
            <w:top w:val="none" w:sz="0" w:space="0" w:color="auto"/>
            <w:left w:val="none" w:sz="0" w:space="0" w:color="auto"/>
            <w:bottom w:val="none" w:sz="0" w:space="0" w:color="auto"/>
            <w:right w:val="none" w:sz="0" w:space="0" w:color="auto"/>
          </w:divBdr>
          <w:divsChild>
            <w:div w:id="10463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1396">
      <w:bodyDiv w:val="1"/>
      <w:marLeft w:val="0"/>
      <w:marRight w:val="0"/>
      <w:marTop w:val="0"/>
      <w:marBottom w:val="0"/>
      <w:divBdr>
        <w:top w:val="none" w:sz="0" w:space="0" w:color="auto"/>
        <w:left w:val="none" w:sz="0" w:space="0" w:color="auto"/>
        <w:bottom w:val="none" w:sz="0" w:space="0" w:color="auto"/>
        <w:right w:val="none" w:sz="0" w:space="0" w:color="auto"/>
      </w:divBdr>
      <w:divsChild>
        <w:div w:id="1067412905">
          <w:marLeft w:val="0"/>
          <w:marRight w:val="0"/>
          <w:marTop w:val="0"/>
          <w:marBottom w:val="0"/>
          <w:divBdr>
            <w:top w:val="none" w:sz="0" w:space="0" w:color="auto"/>
            <w:left w:val="none" w:sz="0" w:space="0" w:color="auto"/>
            <w:bottom w:val="none" w:sz="0" w:space="0" w:color="auto"/>
            <w:right w:val="none" w:sz="0" w:space="0" w:color="auto"/>
          </w:divBdr>
          <w:divsChild>
            <w:div w:id="17664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0575">
      <w:bodyDiv w:val="1"/>
      <w:marLeft w:val="0"/>
      <w:marRight w:val="0"/>
      <w:marTop w:val="0"/>
      <w:marBottom w:val="0"/>
      <w:divBdr>
        <w:top w:val="none" w:sz="0" w:space="0" w:color="auto"/>
        <w:left w:val="none" w:sz="0" w:space="0" w:color="auto"/>
        <w:bottom w:val="none" w:sz="0" w:space="0" w:color="auto"/>
        <w:right w:val="none" w:sz="0" w:space="0" w:color="auto"/>
      </w:divBdr>
      <w:divsChild>
        <w:div w:id="61372875">
          <w:marLeft w:val="0"/>
          <w:marRight w:val="0"/>
          <w:marTop w:val="0"/>
          <w:marBottom w:val="0"/>
          <w:divBdr>
            <w:top w:val="none" w:sz="0" w:space="0" w:color="auto"/>
            <w:left w:val="none" w:sz="0" w:space="0" w:color="auto"/>
            <w:bottom w:val="none" w:sz="0" w:space="0" w:color="auto"/>
            <w:right w:val="none" w:sz="0" w:space="0" w:color="auto"/>
          </w:divBdr>
          <w:divsChild>
            <w:div w:id="3598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4148">
      <w:bodyDiv w:val="1"/>
      <w:marLeft w:val="0"/>
      <w:marRight w:val="0"/>
      <w:marTop w:val="0"/>
      <w:marBottom w:val="0"/>
      <w:divBdr>
        <w:top w:val="none" w:sz="0" w:space="0" w:color="auto"/>
        <w:left w:val="none" w:sz="0" w:space="0" w:color="auto"/>
        <w:bottom w:val="none" w:sz="0" w:space="0" w:color="auto"/>
        <w:right w:val="none" w:sz="0" w:space="0" w:color="auto"/>
      </w:divBdr>
      <w:divsChild>
        <w:div w:id="1743604008">
          <w:marLeft w:val="0"/>
          <w:marRight w:val="0"/>
          <w:marTop w:val="0"/>
          <w:marBottom w:val="0"/>
          <w:divBdr>
            <w:top w:val="none" w:sz="0" w:space="0" w:color="auto"/>
            <w:left w:val="none" w:sz="0" w:space="0" w:color="auto"/>
            <w:bottom w:val="none" w:sz="0" w:space="0" w:color="auto"/>
            <w:right w:val="none" w:sz="0" w:space="0" w:color="auto"/>
          </w:divBdr>
          <w:divsChild>
            <w:div w:id="20529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3958">
      <w:bodyDiv w:val="1"/>
      <w:marLeft w:val="0"/>
      <w:marRight w:val="0"/>
      <w:marTop w:val="0"/>
      <w:marBottom w:val="0"/>
      <w:divBdr>
        <w:top w:val="none" w:sz="0" w:space="0" w:color="auto"/>
        <w:left w:val="none" w:sz="0" w:space="0" w:color="auto"/>
        <w:bottom w:val="none" w:sz="0" w:space="0" w:color="auto"/>
        <w:right w:val="none" w:sz="0" w:space="0" w:color="auto"/>
      </w:divBdr>
      <w:divsChild>
        <w:div w:id="1847358646">
          <w:marLeft w:val="0"/>
          <w:marRight w:val="0"/>
          <w:marTop w:val="0"/>
          <w:marBottom w:val="0"/>
          <w:divBdr>
            <w:top w:val="none" w:sz="0" w:space="0" w:color="auto"/>
            <w:left w:val="none" w:sz="0" w:space="0" w:color="auto"/>
            <w:bottom w:val="none" w:sz="0" w:space="0" w:color="auto"/>
            <w:right w:val="none" w:sz="0" w:space="0" w:color="auto"/>
          </w:divBdr>
          <w:divsChild>
            <w:div w:id="8104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756">
      <w:bodyDiv w:val="1"/>
      <w:marLeft w:val="0"/>
      <w:marRight w:val="0"/>
      <w:marTop w:val="0"/>
      <w:marBottom w:val="0"/>
      <w:divBdr>
        <w:top w:val="none" w:sz="0" w:space="0" w:color="auto"/>
        <w:left w:val="none" w:sz="0" w:space="0" w:color="auto"/>
        <w:bottom w:val="none" w:sz="0" w:space="0" w:color="auto"/>
        <w:right w:val="none" w:sz="0" w:space="0" w:color="auto"/>
      </w:divBdr>
    </w:div>
    <w:div w:id="834606805">
      <w:bodyDiv w:val="1"/>
      <w:marLeft w:val="0"/>
      <w:marRight w:val="0"/>
      <w:marTop w:val="0"/>
      <w:marBottom w:val="0"/>
      <w:divBdr>
        <w:top w:val="none" w:sz="0" w:space="0" w:color="auto"/>
        <w:left w:val="none" w:sz="0" w:space="0" w:color="auto"/>
        <w:bottom w:val="none" w:sz="0" w:space="0" w:color="auto"/>
        <w:right w:val="none" w:sz="0" w:space="0" w:color="auto"/>
      </w:divBdr>
      <w:divsChild>
        <w:div w:id="162400275">
          <w:marLeft w:val="0"/>
          <w:marRight w:val="0"/>
          <w:marTop w:val="0"/>
          <w:marBottom w:val="0"/>
          <w:divBdr>
            <w:top w:val="none" w:sz="0" w:space="0" w:color="auto"/>
            <w:left w:val="none" w:sz="0" w:space="0" w:color="auto"/>
            <w:bottom w:val="none" w:sz="0" w:space="0" w:color="auto"/>
            <w:right w:val="none" w:sz="0" w:space="0" w:color="auto"/>
          </w:divBdr>
        </w:div>
        <w:div w:id="190800752">
          <w:marLeft w:val="0"/>
          <w:marRight w:val="0"/>
          <w:marTop w:val="0"/>
          <w:marBottom w:val="0"/>
          <w:divBdr>
            <w:top w:val="none" w:sz="0" w:space="0" w:color="auto"/>
            <w:left w:val="none" w:sz="0" w:space="0" w:color="auto"/>
            <w:bottom w:val="none" w:sz="0" w:space="0" w:color="auto"/>
            <w:right w:val="none" w:sz="0" w:space="0" w:color="auto"/>
          </w:divBdr>
        </w:div>
        <w:div w:id="222445409">
          <w:marLeft w:val="0"/>
          <w:marRight w:val="0"/>
          <w:marTop w:val="0"/>
          <w:marBottom w:val="0"/>
          <w:divBdr>
            <w:top w:val="none" w:sz="0" w:space="0" w:color="auto"/>
            <w:left w:val="none" w:sz="0" w:space="0" w:color="auto"/>
            <w:bottom w:val="none" w:sz="0" w:space="0" w:color="auto"/>
            <w:right w:val="none" w:sz="0" w:space="0" w:color="auto"/>
          </w:divBdr>
        </w:div>
        <w:div w:id="249194719">
          <w:marLeft w:val="0"/>
          <w:marRight w:val="0"/>
          <w:marTop w:val="0"/>
          <w:marBottom w:val="0"/>
          <w:divBdr>
            <w:top w:val="none" w:sz="0" w:space="0" w:color="auto"/>
            <w:left w:val="none" w:sz="0" w:space="0" w:color="auto"/>
            <w:bottom w:val="none" w:sz="0" w:space="0" w:color="auto"/>
            <w:right w:val="none" w:sz="0" w:space="0" w:color="auto"/>
          </w:divBdr>
        </w:div>
        <w:div w:id="261648068">
          <w:marLeft w:val="0"/>
          <w:marRight w:val="0"/>
          <w:marTop w:val="0"/>
          <w:marBottom w:val="0"/>
          <w:divBdr>
            <w:top w:val="none" w:sz="0" w:space="0" w:color="auto"/>
            <w:left w:val="none" w:sz="0" w:space="0" w:color="auto"/>
            <w:bottom w:val="none" w:sz="0" w:space="0" w:color="auto"/>
            <w:right w:val="none" w:sz="0" w:space="0" w:color="auto"/>
          </w:divBdr>
        </w:div>
        <w:div w:id="335304594">
          <w:marLeft w:val="0"/>
          <w:marRight w:val="0"/>
          <w:marTop w:val="0"/>
          <w:marBottom w:val="0"/>
          <w:divBdr>
            <w:top w:val="none" w:sz="0" w:space="0" w:color="auto"/>
            <w:left w:val="none" w:sz="0" w:space="0" w:color="auto"/>
            <w:bottom w:val="none" w:sz="0" w:space="0" w:color="auto"/>
            <w:right w:val="none" w:sz="0" w:space="0" w:color="auto"/>
          </w:divBdr>
        </w:div>
        <w:div w:id="353072830">
          <w:marLeft w:val="0"/>
          <w:marRight w:val="0"/>
          <w:marTop w:val="0"/>
          <w:marBottom w:val="0"/>
          <w:divBdr>
            <w:top w:val="none" w:sz="0" w:space="0" w:color="auto"/>
            <w:left w:val="none" w:sz="0" w:space="0" w:color="auto"/>
            <w:bottom w:val="none" w:sz="0" w:space="0" w:color="auto"/>
            <w:right w:val="none" w:sz="0" w:space="0" w:color="auto"/>
          </w:divBdr>
        </w:div>
        <w:div w:id="442577054">
          <w:marLeft w:val="0"/>
          <w:marRight w:val="0"/>
          <w:marTop w:val="0"/>
          <w:marBottom w:val="0"/>
          <w:divBdr>
            <w:top w:val="none" w:sz="0" w:space="0" w:color="auto"/>
            <w:left w:val="none" w:sz="0" w:space="0" w:color="auto"/>
            <w:bottom w:val="none" w:sz="0" w:space="0" w:color="auto"/>
            <w:right w:val="none" w:sz="0" w:space="0" w:color="auto"/>
          </w:divBdr>
        </w:div>
        <w:div w:id="462430065">
          <w:marLeft w:val="0"/>
          <w:marRight w:val="0"/>
          <w:marTop w:val="0"/>
          <w:marBottom w:val="0"/>
          <w:divBdr>
            <w:top w:val="none" w:sz="0" w:space="0" w:color="auto"/>
            <w:left w:val="none" w:sz="0" w:space="0" w:color="auto"/>
            <w:bottom w:val="none" w:sz="0" w:space="0" w:color="auto"/>
            <w:right w:val="none" w:sz="0" w:space="0" w:color="auto"/>
          </w:divBdr>
        </w:div>
        <w:div w:id="508717682">
          <w:marLeft w:val="0"/>
          <w:marRight w:val="0"/>
          <w:marTop w:val="0"/>
          <w:marBottom w:val="0"/>
          <w:divBdr>
            <w:top w:val="none" w:sz="0" w:space="0" w:color="auto"/>
            <w:left w:val="none" w:sz="0" w:space="0" w:color="auto"/>
            <w:bottom w:val="none" w:sz="0" w:space="0" w:color="auto"/>
            <w:right w:val="none" w:sz="0" w:space="0" w:color="auto"/>
          </w:divBdr>
        </w:div>
        <w:div w:id="590698727">
          <w:marLeft w:val="0"/>
          <w:marRight w:val="0"/>
          <w:marTop w:val="0"/>
          <w:marBottom w:val="0"/>
          <w:divBdr>
            <w:top w:val="none" w:sz="0" w:space="0" w:color="auto"/>
            <w:left w:val="none" w:sz="0" w:space="0" w:color="auto"/>
            <w:bottom w:val="none" w:sz="0" w:space="0" w:color="auto"/>
            <w:right w:val="none" w:sz="0" w:space="0" w:color="auto"/>
          </w:divBdr>
        </w:div>
        <w:div w:id="637538558">
          <w:marLeft w:val="0"/>
          <w:marRight w:val="0"/>
          <w:marTop w:val="0"/>
          <w:marBottom w:val="0"/>
          <w:divBdr>
            <w:top w:val="none" w:sz="0" w:space="0" w:color="auto"/>
            <w:left w:val="none" w:sz="0" w:space="0" w:color="auto"/>
            <w:bottom w:val="none" w:sz="0" w:space="0" w:color="auto"/>
            <w:right w:val="none" w:sz="0" w:space="0" w:color="auto"/>
          </w:divBdr>
        </w:div>
        <w:div w:id="644972115">
          <w:marLeft w:val="0"/>
          <w:marRight w:val="0"/>
          <w:marTop w:val="0"/>
          <w:marBottom w:val="0"/>
          <w:divBdr>
            <w:top w:val="none" w:sz="0" w:space="0" w:color="auto"/>
            <w:left w:val="none" w:sz="0" w:space="0" w:color="auto"/>
            <w:bottom w:val="none" w:sz="0" w:space="0" w:color="auto"/>
            <w:right w:val="none" w:sz="0" w:space="0" w:color="auto"/>
          </w:divBdr>
        </w:div>
        <w:div w:id="660164233">
          <w:marLeft w:val="0"/>
          <w:marRight w:val="0"/>
          <w:marTop w:val="0"/>
          <w:marBottom w:val="0"/>
          <w:divBdr>
            <w:top w:val="none" w:sz="0" w:space="0" w:color="auto"/>
            <w:left w:val="none" w:sz="0" w:space="0" w:color="auto"/>
            <w:bottom w:val="none" w:sz="0" w:space="0" w:color="auto"/>
            <w:right w:val="none" w:sz="0" w:space="0" w:color="auto"/>
          </w:divBdr>
        </w:div>
        <w:div w:id="831019996">
          <w:marLeft w:val="0"/>
          <w:marRight w:val="0"/>
          <w:marTop w:val="0"/>
          <w:marBottom w:val="0"/>
          <w:divBdr>
            <w:top w:val="none" w:sz="0" w:space="0" w:color="auto"/>
            <w:left w:val="none" w:sz="0" w:space="0" w:color="auto"/>
            <w:bottom w:val="none" w:sz="0" w:space="0" w:color="auto"/>
            <w:right w:val="none" w:sz="0" w:space="0" w:color="auto"/>
          </w:divBdr>
        </w:div>
        <w:div w:id="873075165">
          <w:marLeft w:val="0"/>
          <w:marRight w:val="0"/>
          <w:marTop w:val="0"/>
          <w:marBottom w:val="0"/>
          <w:divBdr>
            <w:top w:val="none" w:sz="0" w:space="0" w:color="auto"/>
            <w:left w:val="none" w:sz="0" w:space="0" w:color="auto"/>
            <w:bottom w:val="none" w:sz="0" w:space="0" w:color="auto"/>
            <w:right w:val="none" w:sz="0" w:space="0" w:color="auto"/>
          </w:divBdr>
        </w:div>
        <w:div w:id="929508753">
          <w:marLeft w:val="0"/>
          <w:marRight w:val="0"/>
          <w:marTop w:val="0"/>
          <w:marBottom w:val="0"/>
          <w:divBdr>
            <w:top w:val="none" w:sz="0" w:space="0" w:color="auto"/>
            <w:left w:val="none" w:sz="0" w:space="0" w:color="auto"/>
            <w:bottom w:val="none" w:sz="0" w:space="0" w:color="auto"/>
            <w:right w:val="none" w:sz="0" w:space="0" w:color="auto"/>
          </w:divBdr>
        </w:div>
        <w:div w:id="1116218501">
          <w:marLeft w:val="0"/>
          <w:marRight w:val="0"/>
          <w:marTop w:val="0"/>
          <w:marBottom w:val="0"/>
          <w:divBdr>
            <w:top w:val="none" w:sz="0" w:space="0" w:color="auto"/>
            <w:left w:val="none" w:sz="0" w:space="0" w:color="auto"/>
            <w:bottom w:val="none" w:sz="0" w:space="0" w:color="auto"/>
            <w:right w:val="none" w:sz="0" w:space="0" w:color="auto"/>
          </w:divBdr>
        </w:div>
        <w:div w:id="1121654125">
          <w:marLeft w:val="0"/>
          <w:marRight w:val="0"/>
          <w:marTop w:val="0"/>
          <w:marBottom w:val="0"/>
          <w:divBdr>
            <w:top w:val="none" w:sz="0" w:space="0" w:color="auto"/>
            <w:left w:val="none" w:sz="0" w:space="0" w:color="auto"/>
            <w:bottom w:val="none" w:sz="0" w:space="0" w:color="auto"/>
            <w:right w:val="none" w:sz="0" w:space="0" w:color="auto"/>
          </w:divBdr>
        </w:div>
        <w:div w:id="1193224921">
          <w:marLeft w:val="0"/>
          <w:marRight w:val="0"/>
          <w:marTop w:val="0"/>
          <w:marBottom w:val="0"/>
          <w:divBdr>
            <w:top w:val="none" w:sz="0" w:space="0" w:color="auto"/>
            <w:left w:val="none" w:sz="0" w:space="0" w:color="auto"/>
            <w:bottom w:val="none" w:sz="0" w:space="0" w:color="auto"/>
            <w:right w:val="none" w:sz="0" w:space="0" w:color="auto"/>
          </w:divBdr>
        </w:div>
        <w:div w:id="1230964824">
          <w:marLeft w:val="0"/>
          <w:marRight w:val="0"/>
          <w:marTop w:val="0"/>
          <w:marBottom w:val="0"/>
          <w:divBdr>
            <w:top w:val="none" w:sz="0" w:space="0" w:color="auto"/>
            <w:left w:val="none" w:sz="0" w:space="0" w:color="auto"/>
            <w:bottom w:val="none" w:sz="0" w:space="0" w:color="auto"/>
            <w:right w:val="none" w:sz="0" w:space="0" w:color="auto"/>
          </w:divBdr>
        </w:div>
        <w:div w:id="1273510843">
          <w:marLeft w:val="0"/>
          <w:marRight w:val="0"/>
          <w:marTop w:val="0"/>
          <w:marBottom w:val="0"/>
          <w:divBdr>
            <w:top w:val="none" w:sz="0" w:space="0" w:color="auto"/>
            <w:left w:val="none" w:sz="0" w:space="0" w:color="auto"/>
            <w:bottom w:val="none" w:sz="0" w:space="0" w:color="auto"/>
            <w:right w:val="none" w:sz="0" w:space="0" w:color="auto"/>
          </w:divBdr>
        </w:div>
        <w:div w:id="1305892250">
          <w:marLeft w:val="0"/>
          <w:marRight w:val="0"/>
          <w:marTop w:val="0"/>
          <w:marBottom w:val="0"/>
          <w:divBdr>
            <w:top w:val="none" w:sz="0" w:space="0" w:color="auto"/>
            <w:left w:val="none" w:sz="0" w:space="0" w:color="auto"/>
            <w:bottom w:val="none" w:sz="0" w:space="0" w:color="auto"/>
            <w:right w:val="none" w:sz="0" w:space="0" w:color="auto"/>
          </w:divBdr>
        </w:div>
        <w:div w:id="1501698167">
          <w:marLeft w:val="0"/>
          <w:marRight w:val="0"/>
          <w:marTop w:val="0"/>
          <w:marBottom w:val="0"/>
          <w:divBdr>
            <w:top w:val="none" w:sz="0" w:space="0" w:color="auto"/>
            <w:left w:val="none" w:sz="0" w:space="0" w:color="auto"/>
            <w:bottom w:val="none" w:sz="0" w:space="0" w:color="auto"/>
            <w:right w:val="none" w:sz="0" w:space="0" w:color="auto"/>
          </w:divBdr>
        </w:div>
        <w:div w:id="1608388511">
          <w:marLeft w:val="0"/>
          <w:marRight w:val="0"/>
          <w:marTop w:val="0"/>
          <w:marBottom w:val="0"/>
          <w:divBdr>
            <w:top w:val="none" w:sz="0" w:space="0" w:color="auto"/>
            <w:left w:val="none" w:sz="0" w:space="0" w:color="auto"/>
            <w:bottom w:val="none" w:sz="0" w:space="0" w:color="auto"/>
            <w:right w:val="none" w:sz="0" w:space="0" w:color="auto"/>
          </w:divBdr>
        </w:div>
        <w:div w:id="1611084604">
          <w:marLeft w:val="0"/>
          <w:marRight w:val="0"/>
          <w:marTop w:val="0"/>
          <w:marBottom w:val="0"/>
          <w:divBdr>
            <w:top w:val="none" w:sz="0" w:space="0" w:color="auto"/>
            <w:left w:val="none" w:sz="0" w:space="0" w:color="auto"/>
            <w:bottom w:val="none" w:sz="0" w:space="0" w:color="auto"/>
            <w:right w:val="none" w:sz="0" w:space="0" w:color="auto"/>
          </w:divBdr>
        </w:div>
        <w:div w:id="1615290706">
          <w:marLeft w:val="0"/>
          <w:marRight w:val="0"/>
          <w:marTop w:val="0"/>
          <w:marBottom w:val="0"/>
          <w:divBdr>
            <w:top w:val="none" w:sz="0" w:space="0" w:color="auto"/>
            <w:left w:val="none" w:sz="0" w:space="0" w:color="auto"/>
            <w:bottom w:val="none" w:sz="0" w:space="0" w:color="auto"/>
            <w:right w:val="none" w:sz="0" w:space="0" w:color="auto"/>
          </w:divBdr>
        </w:div>
        <w:div w:id="1708600629">
          <w:marLeft w:val="0"/>
          <w:marRight w:val="0"/>
          <w:marTop w:val="0"/>
          <w:marBottom w:val="0"/>
          <w:divBdr>
            <w:top w:val="none" w:sz="0" w:space="0" w:color="auto"/>
            <w:left w:val="none" w:sz="0" w:space="0" w:color="auto"/>
            <w:bottom w:val="none" w:sz="0" w:space="0" w:color="auto"/>
            <w:right w:val="none" w:sz="0" w:space="0" w:color="auto"/>
          </w:divBdr>
        </w:div>
        <w:div w:id="1833183397">
          <w:marLeft w:val="0"/>
          <w:marRight w:val="0"/>
          <w:marTop w:val="0"/>
          <w:marBottom w:val="0"/>
          <w:divBdr>
            <w:top w:val="none" w:sz="0" w:space="0" w:color="auto"/>
            <w:left w:val="none" w:sz="0" w:space="0" w:color="auto"/>
            <w:bottom w:val="none" w:sz="0" w:space="0" w:color="auto"/>
            <w:right w:val="none" w:sz="0" w:space="0" w:color="auto"/>
          </w:divBdr>
        </w:div>
        <w:div w:id="1872765582">
          <w:marLeft w:val="0"/>
          <w:marRight w:val="0"/>
          <w:marTop w:val="0"/>
          <w:marBottom w:val="0"/>
          <w:divBdr>
            <w:top w:val="none" w:sz="0" w:space="0" w:color="auto"/>
            <w:left w:val="none" w:sz="0" w:space="0" w:color="auto"/>
            <w:bottom w:val="none" w:sz="0" w:space="0" w:color="auto"/>
            <w:right w:val="none" w:sz="0" w:space="0" w:color="auto"/>
          </w:divBdr>
        </w:div>
        <w:div w:id="1925262533">
          <w:marLeft w:val="0"/>
          <w:marRight w:val="0"/>
          <w:marTop w:val="0"/>
          <w:marBottom w:val="0"/>
          <w:divBdr>
            <w:top w:val="none" w:sz="0" w:space="0" w:color="auto"/>
            <w:left w:val="none" w:sz="0" w:space="0" w:color="auto"/>
            <w:bottom w:val="none" w:sz="0" w:space="0" w:color="auto"/>
            <w:right w:val="none" w:sz="0" w:space="0" w:color="auto"/>
          </w:divBdr>
        </w:div>
        <w:div w:id="1950045545">
          <w:marLeft w:val="0"/>
          <w:marRight w:val="0"/>
          <w:marTop w:val="0"/>
          <w:marBottom w:val="0"/>
          <w:divBdr>
            <w:top w:val="none" w:sz="0" w:space="0" w:color="auto"/>
            <w:left w:val="none" w:sz="0" w:space="0" w:color="auto"/>
            <w:bottom w:val="none" w:sz="0" w:space="0" w:color="auto"/>
            <w:right w:val="none" w:sz="0" w:space="0" w:color="auto"/>
          </w:divBdr>
        </w:div>
      </w:divsChild>
    </w:div>
    <w:div w:id="838156481">
      <w:bodyDiv w:val="1"/>
      <w:marLeft w:val="0"/>
      <w:marRight w:val="0"/>
      <w:marTop w:val="0"/>
      <w:marBottom w:val="0"/>
      <w:divBdr>
        <w:top w:val="none" w:sz="0" w:space="0" w:color="auto"/>
        <w:left w:val="none" w:sz="0" w:space="0" w:color="auto"/>
        <w:bottom w:val="none" w:sz="0" w:space="0" w:color="auto"/>
        <w:right w:val="none" w:sz="0" w:space="0" w:color="auto"/>
      </w:divBdr>
      <w:divsChild>
        <w:div w:id="376128071">
          <w:marLeft w:val="0"/>
          <w:marRight w:val="0"/>
          <w:marTop w:val="0"/>
          <w:marBottom w:val="0"/>
          <w:divBdr>
            <w:top w:val="none" w:sz="0" w:space="0" w:color="auto"/>
            <w:left w:val="none" w:sz="0" w:space="0" w:color="auto"/>
            <w:bottom w:val="none" w:sz="0" w:space="0" w:color="auto"/>
            <w:right w:val="none" w:sz="0" w:space="0" w:color="auto"/>
          </w:divBdr>
          <w:divsChild>
            <w:div w:id="14303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80128">
      <w:bodyDiv w:val="1"/>
      <w:marLeft w:val="0"/>
      <w:marRight w:val="0"/>
      <w:marTop w:val="0"/>
      <w:marBottom w:val="0"/>
      <w:divBdr>
        <w:top w:val="none" w:sz="0" w:space="0" w:color="auto"/>
        <w:left w:val="none" w:sz="0" w:space="0" w:color="auto"/>
        <w:bottom w:val="none" w:sz="0" w:space="0" w:color="auto"/>
        <w:right w:val="none" w:sz="0" w:space="0" w:color="auto"/>
      </w:divBdr>
      <w:divsChild>
        <w:div w:id="1542865038">
          <w:marLeft w:val="0"/>
          <w:marRight w:val="0"/>
          <w:marTop w:val="0"/>
          <w:marBottom w:val="0"/>
          <w:divBdr>
            <w:top w:val="none" w:sz="0" w:space="0" w:color="auto"/>
            <w:left w:val="none" w:sz="0" w:space="0" w:color="auto"/>
            <w:bottom w:val="none" w:sz="0" w:space="0" w:color="auto"/>
            <w:right w:val="none" w:sz="0" w:space="0" w:color="auto"/>
          </w:divBdr>
          <w:divsChild>
            <w:div w:id="180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359">
      <w:bodyDiv w:val="1"/>
      <w:marLeft w:val="0"/>
      <w:marRight w:val="0"/>
      <w:marTop w:val="0"/>
      <w:marBottom w:val="0"/>
      <w:divBdr>
        <w:top w:val="none" w:sz="0" w:space="0" w:color="auto"/>
        <w:left w:val="none" w:sz="0" w:space="0" w:color="auto"/>
        <w:bottom w:val="none" w:sz="0" w:space="0" w:color="auto"/>
        <w:right w:val="none" w:sz="0" w:space="0" w:color="auto"/>
      </w:divBdr>
      <w:divsChild>
        <w:div w:id="344596684">
          <w:marLeft w:val="0"/>
          <w:marRight w:val="0"/>
          <w:marTop w:val="0"/>
          <w:marBottom w:val="0"/>
          <w:divBdr>
            <w:top w:val="none" w:sz="0" w:space="0" w:color="auto"/>
            <w:left w:val="none" w:sz="0" w:space="0" w:color="auto"/>
            <w:bottom w:val="none" w:sz="0" w:space="0" w:color="auto"/>
            <w:right w:val="none" w:sz="0" w:space="0" w:color="auto"/>
          </w:divBdr>
          <w:divsChild>
            <w:div w:id="1191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5716">
      <w:bodyDiv w:val="1"/>
      <w:marLeft w:val="0"/>
      <w:marRight w:val="0"/>
      <w:marTop w:val="0"/>
      <w:marBottom w:val="0"/>
      <w:divBdr>
        <w:top w:val="none" w:sz="0" w:space="0" w:color="auto"/>
        <w:left w:val="none" w:sz="0" w:space="0" w:color="auto"/>
        <w:bottom w:val="none" w:sz="0" w:space="0" w:color="auto"/>
        <w:right w:val="none" w:sz="0" w:space="0" w:color="auto"/>
      </w:divBdr>
    </w:div>
    <w:div w:id="1186479850">
      <w:bodyDiv w:val="1"/>
      <w:marLeft w:val="0"/>
      <w:marRight w:val="0"/>
      <w:marTop w:val="0"/>
      <w:marBottom w:val="0"/>
      <w:divBdr>
        <w:top w:val="none" w:sz="0" w:space="0" w:color="auto"/>
        <w:left w:val="none" w:sz="0" w:space="0" w:color="auto"/>
        <w:bottom w:val="none" w:sz="0" w:space="0" w:color="auto"/>
        <w:right w:val="none" w:sz="0" w:space="0" w:color="auto"/>
      </w:divBdr>
      <w:divsChild>
        <w:div w:id="316693062">
          <w:marLeft w:val="0"/>
          <w:marRight w:val="0"/>
          <w:marTop w:val="0"/>
          <w:marBottom w:val="0"/>
          <w:divBdr>
            <w:top w:val="none" w:sz="0" w:space="0" w:color="auto"/>
            <w:left w:val="none" w:sz="0" w:space="0" w:color="auto"/>
            <w:bottom w:val="none" w:sz="0" w:space="0" w:color="auto"/>
            <w:right w:val="none" w:sz="0" w:space="0" w:color="auto"/>
          </w:divBdr>
        </w:div>
        <w:div w:id="570046169">
          <w:marLeft w:val="0"/>
          <w:marRight w:val="0"/>
          <w:marTop w:val="0"/>
          <w:marBottom w:val="0"/>
          <w:divBdr>
            <w:top w:val="none" w:sz="0" w:space="0" w:color="auto"/>
            <w:left w:val="none" w:sz="0" w:space="0" w:color="auto"/>
            <w:bottom w:val="none" w:sz="0" w:space="0" w:color="auto"/>
            <w:right w:val="none" w:sz="0" w:space="0" w:color="auto"/>
          </w:divBdr>
        </w:div>
        <w:div w:id="805510858">
          <w:marLeft w:val="0"/>
          <w:marRight w:val="0"/>
          <w:marTop w:val="0"/>
          <w:marBottom w:val="0"/>
          <w:divBdr>
            <w:top w:val="none" w:sz="0" w:space="0" w:color="auto"/>
            <w:left w:val="none" w:sz="0" w:space="0" w:color="auto"/>
            <w:bottom w:val="none" w:sz="0" w:space="0" w:color="auto"/>
            <w:right w:val="none" w:sz="0" w:space="0" w:color="auto"/>
          </w:divBdr>
        </w:div>
        <w:div w:id="825437462">
          <w:marLeft w:val="0"/>
          <w:marRight w:val="0"/>
          <w:marTop w:val="0"/>
          <w:marBottom w:val="0"/>
          <w:divBdr>
            <w:top w:val="none" w:sz="0" w:space="0" w:color="auto"/>
            <w:left w:val="none" w:sz="0" w:space="0" w:color="auto"/>
            <w:bottom w:val="none" w:sz="0" w:space="0" w:color="auto"/>
            <w:right w:val="none" w:sz="0" w:space="0" w:color="auto"/>
          </w:divBdr>
        </w:div>
        <w:div w:id="862323235">
          <w:marLeft w:val="0"/>
          <w:marRight w:val="0"/>
          <w:marTop w:val="0"/>
          <w:marBottom w:val="0"/>
          <w:divBdr>
            <w:top w:val="none" w:sz="0" w:space="0" w:color="auto"/>
            <w:left w:val="none" w:sz="0" w:space="0" w:color="auto"/>
            <w:bottom w:val="none" w:sz="0" w:space="0" w:color="auto"/>
            <w:right w:val="none" w:sz="0" w:space="0" w:color="auto"/>
          </w:divBdr>
        </w:div>
      </w:divsChild>
    </w:div>
    <w:div w:id="1263146527">
      <w:bodyDiv w:val="1"/>
      <w:marLeft w:val="0"/>
      <w:marRight w:val="0"/>
      <w:marTop w:val="0"/>
      <w:marBottom w:val="0"/>
      <w:divBdr>
        <w:top w:val="none" w:sz="0" w:space="0" w:color="auto"/>
        <w:left w:val="none" w:sz="0" w:space="0" w:color="auto"/>
        <w:bottom w:val="none" w:sz="0" w:space="0" w:color="auto"/>
        <w:right w:val="none" w:sz="0" w:space="0" w:color="auto"/>
      </w:divBdr>
    </w:div>
    <w:div w:id="1467308306">
      <w:bodyDiv w:val="1"/>
      <w:marLeft w:val="0"/>
      <w:marRight w:val="0"/>
      <w:marTop w:val="0"/>
      <w:marBottom w:val="0"/>
      <w:divBdr>
        <w:top w:val="none" w:sz="0" w:space="0" w:color="auto"/>
        <w:left w:val="none" w:sz="0" w:space="0" w:color="auto"/>
        <w:bottom w:val="none" w:sz="0" w:space="0" w:color="auto"/>
        <w:right w:val="none" w:sz="0" w:space="0" w:color="auto"/>
      </w:divBdr>
    </w:div>
    <w:div w:id="1566337814">
      <w:bodyDiv w:val="1"/>
      <w:marLeft w:val="0"/>
      <w:marRight w:val="0"/>
      <w:marTop w:val="0"/>
      <w:marBottom w:val="0"/>
      <w:divBdr>
        <w:top w:val="none" w:sz="0" w:space="0" w:color="auto"/>
        <w:left w:val="none" w:sz="0" w:space="0" w:color="auto"/>
        <w:bottom w:val="none" w:sz="0" w:space="0" w:color="auto"/>
        <w:right w:val="none" w:sz="0" w:space="0" w:color="auto"/>
      </w:divBdr>
      <w:divsChild>
        <w:div w:id="1493448263">
          <w:marLeft w:val="0"/>
          <w:marRight w:val="0"/>
          <w:marTop w:val="0"/>
          <w:marBottom w:val="0"/>
          <w:divBdr>
            <w:top w:val="none" w:sz="0" w:space="0" w:color="auto"/>
            <w:left w:val="none" w:sz="0" w:space="0" w:color="auto"/>
            <w:bottom w:val="none" w:sz="0" w:space="0" w:color="auto"/>
            <w:right w:val="none" w:sz="0" w:space="0" w:color="auto"/>
          </w:divBdr>
          <w:divsChild>
            <w:div w:id="14950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5320">
      <w:bodyDiv w:val="1"/>
      <w:marLeft w:val="0"/>
      <w:marRight w:val="0"/>
      <w:marTop w:val="0"/>
      <w:marBottom w:val="0"/>
      <w:divBdr>
        <w:top w:val="none" w:sz="0" w:space="0" w:color="auto"/>
        <w:left w:val="none" w:sz="0" w:space="0" w:color="auto"/>
        <w:bottom w:val="none" w:sz="0" w:space="0" w:color="auto"/>
        <w:right w:val="none" w:sz="0" w:space="0" w:color="auto"/>
      </w:divBdr>
    </w:div>
    <w:div w:id="1966504509">
      <w:bodyDiv w:val="1"/>
      <w:marLeft w:val="0"/>
      <w:marRight w:val="0"/>
      <w:marTop w:val="0"/>
      <w:marBottom w:val="0"/>
      <w:divBdr>
        <w:top w:val="none" w:sz="0" w:space="0" w:color="auto"/>
        <w:left w:val="none" w:sz="0" w:space="0" w:color="auto"/>
        <w:bottom w:val="none" w:sz="0" w:space="0" w:color="auto"/>
        <w:right w:val="none" w:sz="0" w:space="0" w:color="auto"/>
      </w:divBdr>
    </w:div>
    <w:div w:id="2095741358">
      <w:bodyDiv w:val="1"/>
      <w:marLeft w:val="0"/>
      <w:marRight w:val="0"/>
      <w:marTop w:val="0"/>
      <w:marBottom w:val="0"/>
      <w:divBdr>
        <w:top w:val="none" w:sz="0" w:space="0" w:color="auto"/>
        <w:left w:val="none" w:sz="0" w:space="0" w:color="auto"/>
        <w:bottom w:val="none" w:sz="0" w:space="0" w:color="auto"/>
        <w:right w:val="none" w:sz="0" w:space="0" w:color="auto"/>
      </w:divBdr>
      <w:divsChild>
        <w:div w:id="564142703">
          <w:marLeft w:val="0"/>
          <w:marRight w:val="0"/>
          <w:marTop w:val="0"/>
          <w:marBottom w:val="0"/>
          <w:divBdr>
            <w:top w:val="none" w:sz="0" w:space="0" w:color="auto"/>
            <w:left w:val="none" w:sz="0" w:space="0" w:color="auto"/>
            <w:bottom w:val="none" w:sz="0" w:space="0" w:color="auto"/>
            <w:right w:val="none" w:sz="0" w:space="0" w:color="auto"/>
          </w:divBdr>
          <w:divsChild>
            <w:div w:id="12279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016">
      <w:bodyDiv w:val="1"/>
      <w:marLeft w:val="0"/>
      <w:marRight w:val="0"/>
      <w:marTop w:val="0"/>
      <w:marBottom w:val="0"/>
      <w:divBdr>
        <w:top w:val="none" w:sz="0" w:space="0" w:color="auto"/>
        <w:left w:val="none" w:sz="0" w:space="0" w:color="auto"/>
        <w:bottom w:val="none" w:sz="0" w:space="0" w:color="auto"/>
        <w:right w:val="none" w:sz="0" w:space="0" w:color="auto"/>
      </w:divBdr>
      <w:divsChild>
        <w:div w:id="914390695">
          <w:marLeft w:val="0"/>
          <w:marRight w:val="0"/>
          <w:marTop w:val="0"/>
          <w:marBottom w:val="0"/>
          <w:divBdr>
            <w:top w:val="none" w:sz="0" w:space="0" w:color="auto"/>
            <w:left w:val="none" w:sz="0" w:space="0" w:color="auto"/>
            <w:bottom w:val="none" w:sz="0" w:space="0" w:color="auto"/>
            <w:right w:val="none" w:sz="0" w:space="0" w:color="auto"/>
          </w:divBdr>
          <w:divsChild>
            <w:div w:id="17048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s://www.judicialcollege.vic.edu.au/resources/charter-case-collection" TargetMode="External"/><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hyperlink" Target="file:///C:\Users\simon\Downloads\Working%20draft%20graphic%20play-%20A%20guide%20to%20human%20rights%20for%20the%20Mental%20Health%20and%20Wellbeing%20Division%20%5bDecision-making%20section%5d.docx" TargetMode="External"/><Relationship Id="rId37" Type="http://schemas.openxmlformats.org/officeDocument/2006/relationships/image" Target="media/image19.png"/><Relationship Id="rId40" Type="http://schemas.openxmlformats.org/officeDocument/2006/relationships/header" Target="header4.xml"/><Relationship Id="rId45" Type="http://schemas.openxmlformats.org/officeDocument/2006/relationships/hyperlink" Target="https://www.humanrights.vic.gov.au/resources/the-charter-of-human-rights-and-responsibilities-a-guide-for-victorian-public-sector-workers-jul-2019/"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31" Type="http://schemas.openxmlformats.org/officeDocument/2006/relationships/hyperlink" Target="file:///C:\Users\simon\Downloads\Working%20draft%20graphic%20play-%20A%20guide%20to%20human%20rights%20for%20the%20Mental%20Health%20and%20Wellbeing%20Division%20%5bDecision-making%20section%5d.docx"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7.svg"/><Relationship Id="rId43" Type="http://schemas.openxmlformats.org/officeDocument/2006/relationships/image" Target="media/image23.svg"/><Relationship Id="rId48" Type="http://schemas.openxmlformats.org/officeDocument/2006/relationships/hyperlink" Target="https://www.ombudsman.vic.gov.au/learn-from-us/practice-guides/how-to-manage-complaints-involving-human-rights/"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nc-sa/4.0/"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judicialcollege.vic.edu.au/bench-books/charter-human-rights-and-responsibilities-bench-book" TargetMode="External"/><Relationship Id="rId20" Type="http://schemas.openxmlformats.org/officeDocument/2006/relationships/image" Target="media/image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socialequity.unimelb.edu.au/__data/assets/pdf_file/0005/3532820/Leading-the-Change-Report-2020.pdf" TargetMode="External"/></Relationships>
</file>

<file path=word/theme/theme1.xml><?xml version="1.0" encoding="utf-8"?>
<a:theme xmlns:a="http://schemas.openxmlformats.org/drawingml/2006/main" name="Office Theme">
  <a:themeElements>
    <a:clrScheme name="Lionheart Consulting Australia">
      <a:dk1>
        <a:sysClr val="windowText" lastClr="000000"/>
      </a:dk1>
      <a:lt1>
        <a:sysClr val="window" lastClr="FFFFFF"/>
      </a:lt1>
      <a:dk2>
        <a:srgbClr val="2B484E"/>
      </a:dk2>
      <a:lt2>
        <a:srgbClr val="E2F7EF"/>
      </a:lt2>
      <a:accent1>
        <a:srgbClr val="377375"/>
      </a:accent1>
      <a:accent2>
        <a:srgbClr val="25363E"/>
      </a:accent2>
      <a:accent3>
        <a:srgbClr val="598291"/>
      </a:accent3>
      <a:accent4>
        <a:srgbClr val="6B4B5F"/>
      </a:accent4>
      <a:accent5>
        <a:srgbClr val="A55B5E"/>
      </a:accent5>
      <a:accent6>
        <a:srgbClr val="DCAE56"/>
      </a:accent6>
      <a:hlink>
        <a:srgbClr val="377375"/>
      </a:hlink>
      <a:folHlink>
        <a:srgbClr val="2B48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EB397AF1B434409B37A8D521173DAE" ma:contentTypeVersion="10" ma:contentTypeDescription="Create a new document." ma:contentTypeScope="" ma:versionID="461f9feebec2b79a77773cc87cb4c378">
  <xsd:schema xmlns:xsd="http://www.w3.org/2001/XMLSchema" xmlns:xs="http://www.w3.org/2001/XMLSchema" xmlns:p="http://schemas.microsoft.com/office/2006/metadata/properties" xmlns:ns3="bed17aa6-418d-4afb-9dfd-1adea3103f7c" targetNamespace="http://schemas.microsoft.com/office/2006/metadata/properties" ma:root="true" ma:fieldsID="6bc506c8d8959f96e5ad0cf336842482" ns3:_="">
    <xsd:import namespace="bed17aa6-418d-4afb-9dfd-1adea3103f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17aa6-418d-4afb-9dfd-1adea3103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DE1FA0-E565-4BF7-8416-13100EB06A1C}">
  <ds:schemaRefs>
    <ds:schemaRef ds:uri="http://schemas.microsoft.com/sharepoint/v3/contenttype/forms"/>
  </ds:schemaRefs>
</ds:datastoreItem>
</file>

<file path=customXml/itemProps2.xml><?xml version="1.0" encoding="utf-8"?>
<ds:datastoreItem xmlns:ds="http://schemas.openxmlformats.org/officeDocument/2006/customXml" ds:itemID="{E69173B0-A2E3-4FA6-BD40-FCA21AC2A48A}">
  <ds:schemaRefs>
    <ds:schemaRef ds:uri="http://schemas.openxmlformats.org/officeDocument/2006/bibliography"/>
  </ds:schemaRefs>
</ds:datastoreItem>
</file>

<file path=customXml/itemProps3.xml><?xml version="1.0" encoding="utf-8"?>
<ds:datastoreItem xmlns:ds="http://schemas.openxmlformats.org/officeDocument/2006/customXml" ds:itemID="{E442782F-2FE7-49CD-BCBD-795F35C3D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17aa6-418d-4afb-9dfd-1adea3103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E4A3A0-7BC3-4B84-A863-DDF7376D95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37</Pages>
  <Words>7701</Words>
  <Characters>43208</Characters>
  <Application>Microsoft Office Word</Application>
  <DocSecurity>0</DocSecurity>
  <Lines>744</Lines>
  <Paragraphs>259</Paragraphs>
  <ScaleCrop>false</ScaleCrop>
  <Company/>
  <LinksUpToDate>false</LinksUpToDate>
  <CharactersWithSpaces>50650</CharactersWithSpaces>
  <SharedDoc>false</SharedDoc>
  <HLinks>
    <vt:vector size="54" baseType="variant">
      <vt:variant>
        <vt:i4>6553680</vt:i4>
      </vt:variant>
      <vt:variant>
        <vt:i4>30</vt:i4>
      </vt:variant>
      <vt:variant>
        <vt:i4>0</vt:i4>
      </vt:variant>
      <vt:variant>
        <vt:i4>5</vt:i4>
      </vt:variant>
      <vt:variant>
        <vt:lpwstr>https://socialequity.unimelb.edu.au/__data/assets/pdf_file/0005/3532820/Leading-the-Change-Report-2020.pdf</vt:lpwstr>
      </vt:variant>
      <vt:variant>
        <vt:lpwstr/>
      </vt:variant>
      <vt:variant>
        <vt:i4>7077942</vt:i4>
      </vt:variant>
      <vt:variant>
        <vt:i4>21</vt:i4>
      </vt:variant>
      <vt:variant>
        <vt:i4>0</vt:i4>
      </vt:variant>
      <vt:variant>
        <vt:i4>5</vt:i4>
      </vt:variant>
      <vt:variant>
        <vt:lpwstr>https://www.ombudsman.vic.gov.au/learn-from-us/practice-guides/how-to-manage-complaints-involving-human-rights/</vt:lpwstr>
      </vt:variant>
      <vt:variant>
        <vt:lpwstr/>
      </vt:variant>
      <vt:variant>
        <vt:i4>5832733</vt:i4>
      </vt:variant>
      <vt:variant>
        <vt:i4>18</vt:i4>
      </vt:variant>
      <vt:variant>
        <vt:i4>0</vt:i4>
      </vt:variant>
      <vt:variant>
        <vt:i4>5</vt:i4>
      </vt:variant>
      <vt:variant>
        <vt:lpwstr>https://www.judicialcollege.vic.edu.au/resources/charter-case-collection</vt:lpwstr>
      </vt:variant>
      <vt:variant>
        <vt:lpwstr/>
      </vt:variant>
      <vt:variant>
        <vt:i4>7864447</vt:i4>
      </vt:variant>
      <vt:variant>
        <vt:i4>15</vt:i4>
      </vt:variant>
      <vt:variant>
        <vt:i4>0</vt:i4>
      </vt:variant>
      <vt:variant>
        <vt:i4>5</vt:i4>
      </vt:variant>
      <vt:variant>
        <vt:lpwstr>https://www.judicialcollege.vic.edu.au/bench-books/charter-human-rights-and-responsibilities-bench-book</vt:lpwstr>
      </vt:variant>
      <vt:variant>
        <vt:lpwstr/>
      </vt:variant>
      <vt:variant>
        <vt:i4>6291580</vt:i4>
      </vt:variant>
      <vt:variant>
        <vt:i4>12</vt:i4>
      </vt:variant>
      <vt:variant>
        <vt:i4>0</vt:i4>
      </vt:variant>
      <vt:variant>
        <vt:i4>5</vt:i4>
      </vt:variant>
      <vt:variant>
        <vt:lpwstr>https://www.humanrights.vic.gov.au/resources/the-charter-of-human-rights-and-responsibilities-a-guide-for-victorian-public-sector-workers-jul-2019/</vt:lpwstr>
      </vt:variant>
      <vt:variant>
        <vt:lpwstr/>
      </vt:variant>
      <vt:variant>
        <vt:i4>7995463</vt:i4>
      </vt:variant>
      <vt:variant>
        <vt:i4>9</vt:i4>
      </vt:variant>
      <vt:variant>
        <vt:i4>0</vt:i4>
      </vt:variant>
      <vt:variant>
        <vt:i4>5</vt:i4>
      </vt:variant>
      <vt:variant>
        <vt:lpwstr/>
      </vt:variant>
      <vt:variant>
        <vt:lpwstr>_Question_4._Are</vt:lpwstr>
      </vt:variant>
      <vt:variant>
        <vt:i4>6815834</vt:i4>
      </vt:variant>
      <vt:variant>
        <vt:i4>6</vt:i4>
      </vt:variant>
      <vt:variant>
        <vt:i4>0</vt:i4>
      </vt:variant>
      <vt:variant>
        <vt:i4>5</vt:i4>
      </vt:variant>
      <vt:variant>
        <vt:lpwstr/>
      </vt:variant>
      <vt:variant>
        <vt:lpwstr>_Question_3._What</vt:lpwstr>
      </vt:variant>
      <vt:variant>
        <vt:i4>6881304</vt:i4>
      </vt:variant>
      <vt:variant>
        <vt:i4>3</vt:i4>
      </vt:variant>
      <vt:variant>
        <vt:i4>0</vt:i4>
      </vt:variant>
      <vt:variant>
        <vt:i4>5</vt:i4>
      </vt:variant>
      <vt:variant>
        <vt:lpwstr>C:\Users\simon\Downloads\Working draft graphic play- A guide to human rights for the Mental Health and Wellbeing Division [Decision-making section].docx</vt:lpwstr>
      </vt:variant>
      <vt:variant>
        <vt:lpwstr>_Question_2._Can</vt:lpwstr>
      </vt:variant>
      <vt:variant>
        <vt:i4>7995419</vt:i4>
      </vt:variant>
      <vt:variant>
        <vt:i4>0</vt:i4>
      </vt:variant>
      <vt:variant>
        <vt:i4>0</vt:i4>
      </vt:variant>
      <vt:variant>
        <vt:i4>5</vt:i4>
      </vt:variant>
      <vt:variant>
        <vt:lpwstr>C:\Users\simon\Downloads\Working draft graphic play- A guide to human rights for the Mental Health and Wellbeing Division [Decision-making section].docx</vt:lpwstr>
      </vt:variant>
      <vt:variant>
        <vt:lpwstr>_Question_1._Have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Kerin Leonard</dc:creator>
  <cp:keywords/>
  <dc:description/>
  <cp:lastModifiedBy>Simon Katterl</cp:lastModifiedBy>
  <cp:revision>30</cp:revision>
  <cp:lastPrinted>2023-05-23T11:24:00Z</cp:lastPrinted>
  <dcterms:created xsi:type="dcterms:W3CDTF">2023-05-23T10:49:00Z</dcterms:created>
  <dcterms:modified xsi:type="dcterms:W3CDTF">2023-08-08T08:06:00Z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0x010100C3EB397AF1B434409B37A8D521173DAE</vt:lpwstr>
  </property>
  <property fmtid="{D5CDD505-2E9C-101B-9397-08002B2CF9AE}" pid="3" name="ZOTERO_PREF_2">
    <vt:lpwstr>="noteType" value="1"/&gt;&lt;/prefs&gt;&lt;/data&gt;</vt:lpwstr>
  </property>
  <property fmtid="{D5CDD505-2E9C-101B-9397-08002B2CF9AE}" pid="4" name="ZOTERO_PREF_1">
    <vt:lpwstr>&lt;data data-version="3" zotero-version="6.0.26"&gt;&lt;session id="ZfcJQbAL"/&gt;&lt;style id="http://www.zotero.org/styles/australian-guide-to-legal-citation" hasBibliography="1" bibliographyStyleHasBeenSet="0"/&gt;&lt;prefs&gt;&lt;pref name="fieldType" value="Field"/&gt;&lt;pref name</vt:lpwstr>
  </property>
  <property fmtid="{D5CDD505-2E9C-101B-9397-08002B2CF9AE}" pid="5" name="GrammarlyDocumentId">
    <vt:lpwstr>f85e3c1ab1a8d2c31380c08b43a86775d57f7b57b617f6041fa8622b14a00d91</vt:lpwstr>
  </property>
</Properties>
</file>